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C46" w:rsidRPr="00CC7C46" w:rsidRDefault="00CC7C46" w:rsidP="00CC7C46">
      <w:pPr>
        <w:spacing w:after="0" w:line="276" w:lineRule="auto"/>
        <w:jc w:val="center"/>
        <w:rPr>
          <w:rFonts w:ascii="Times New Roman" w:hAnsi="Times New Roman" w:cs="Times New Roman"/>
          <w:sz w:val="32"/>
        </w:rPr>
      </w:pPr>
      <w:r w:rsidRPr="00CC7C46">
        <w:rPr>
          <w:rFonts w:ascii="Times New Roman" w:hAnsi="Times New Roman" w:cs="Times New Roman"/>
          <w:sz w:val="32"/>
        </w:rPr>
        <w:t>Parrocchia Santa Maria a Piazza</w:t>
      </w:r>
    </w:p>
    <w:p w:rsidR="00CC7C46" w:rsidRPr="00CC7C46" w:rsidRDefault="00CC7C46" w:rsidP="00CC7C46">
      <w:pPr>
        <w:spacing w:after="0" w:line="276" w:lineRule="auto"/>
        <w:jc w:val="center"/>
        <w:rPr>
          <w:rFonts w:ascii="Times New Roman" w:hAnsi="Times New Roman" w:cs="Times New Roman"/>
          <w:sz w:val="24"/>
        </w:rPr>
      </w:pPr>
      <w:r w:rsidRPr="00CC7C46">
        <w:rPr>
          <w:rFonts w:ascii="Times New Roman" w:hAnsi="Times New Roman" w:cs="Times New Roman"/>
          <w:sz w:val="32"/>
        </w:rPr>
        <w:t>Corso biblico VI</w:t>
      </w:r>
      <w:r w:rsidR="00E70FB1">
        <w:rPr>
          <w:rFonts w:ascii="Times New Roman" w:hAnsi="Times New Roman" w:cs="Times New Roman"/>
          <w:sz w:val="32"/>
        </w:rPr>
        <w:t>I</w:t>
      </w:r>
      <w:bookmarkStart w:id="0" w:name="_GoBack"/>
      <w:bookmarkEnd w:id="0"/>
    </w:p>
    <w:p w:rsidR="003709F9" w:rsidRDefault="003709F9" w:rsidP="00CC7C46">
      <w:pPr>
        <w:spacing w:after="0" w:line="276" w:lineRule="auto"/>
        <w:jc w:val="center"/>
        <w:rPr>
          <w:rFonts w:ascii="Times New Roman" w:hAnsi="Times New Roman" w:cs="Times New Roman"/>
          <w:i/>
          <w:sz w:val="24"/>
          <w:u w:val="single"/>
        </w:rPr>
      </w:pPr>
    </w:p>
    <w:p w:rsidR="00091729" w:rsidRPr="003709F9" w:rsidRDefault="00091729" w:rsidP="00CC7C46">
      <w:pPr>
        <w:spacing w:after="0" w:line="276" w:lineRule="auto"/>
        <w:jc w:val="center"/>
        <w:rPr>
          <w:rFonts w:ascii="Times New Roman" w:hAnsi="Times New Roman" w:cs="Times New Roman"/>
          <w:b/>
          <w:i/>
          <w:sz w:val="24"/>
          <w:u w:val="single"/>
        </w:rPr>
      </w:pPr>
      <w:r w:rsidRPr="003709F9">
        <w:rPr>
          <w:rFonts w:ascii="Times New Roman" w:hAnsi="Times New Roman" w:cs="Times New Roman"/>
          <w:b/>
          <w:i/>
          <w:sz w:val="28"/>
          <w:u w:val="single"/>
        </w:rPr>
        <w:t>LA VOCAZIONE (Gen 12-50)</w:t>
      </w:r>
    </w:p>
    <w:p w:rsidR="00091729" w:rsidRPr="00CC7C46" w:rsidRDefault="00091729"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 CONTESTO BIBLICO</w:t>
      </w:r>
    </w:p>
    <w:p w:rsidR="00091729" w:rsidRPr="00CC7C46" w:rsidRDefault="00091729"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Abramo, Isacco e Giacobbe, Giuseppe e Giuda</w:t>
      </w:r>
    </w:p>
    <w:p w:rsidR="00091729" w:rsidRPr="00CC7C46" w:rsidRDefault="00091729"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Dopo i primi undici capitoli (i cosiddetti «racconti delle origini»), la seconda parte del libro della Genesi propone la narrazione delle vicende dei grandi antenati della storia salvifica, i patriarchi Abramo, Isacco e Giacobbe (rispettivamente padre, figlio e nipote), Giuseppe e Giuda. Tratteggiati con caratterizzazioni differenti e complementari, nel loro reciproco rapporto essi costituiscono delle figure paradigmatiche, un modello di umanità e di fede per gli appartenenti al popolo dell'alleanza con «il Dio di Abramo, di Isacco e di Giacobbe» (Es 3,15).</w:t>
      </w:r>
    </w:p>
    <w:p w:rsidR="00091729" w:rsidRPr="00CC7C46" w:rsidRDefault="00091729"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Il lettore più attento della Bibbia potrebbe rimanere stupito nel rilevare che, scorrendo i più antichi libri biblici, come quelli dei profeti che vivono prima dell'esilio, Abramo, il «padre nella fede», non venga mai menzionato. Il suo nome compare per la prima volta al di fuori della Genesi solo in Ez 33,24, nello scritto di un profeta esilico. Anche per Isacco e Giacobbe si verifica la stessa cosa: i loro nomi compaiono in scena molto prima, nei libri di Amos e Osea, verso la metà dell'VIII secolo, ma lo sfondo in cui vengono menzionati gioca decisamente a loro sfavore: Am 7,9 inveisce contro le alture idolatriche di Isacco, mentre Os 12,3-14 evoca le frodi, gli inganni, l'orgoglio e la fuga di Giacobbe, descritto come un uomo che iniziò a peccare fin dal seno di sua madre e che conservò tale indole anche in età adulta. La spiegazione di questo fenomeno apparentemente strano sta nel fatto che le tradizioni patriarcali entrano a far parte della riflessione teologica di Israele solo a partire dall'esilio. In questo periodo le tradizioni orali che riguardano i patriarchi divengono oggetto di memoria e di narrazione scritta, al fine di poter radicare in essi le speranze minacciate dal grande shock della deportazione. Israele non può lasciarsi andare alla disperazione della sconfitta: la sua storia parla di elezione, di alleanze, di promesse in cui Dio si è impegnato in prima persona e in modo del tutto gratuito. Abramo, Isacco e Giacobbe ne sono le icone.</w:t>
      </w:r>
    </w:p>
    <w:p w:rsidR="00CC7C46" w:rsidRPr="00135BD6" w:rsidRDefault="00CC7C46" w:rsidP="00CC7C46">
      <w:pPr>
        <w:spacing w:after="0" w:line="276" w:lineRule="auto"/>
        <w:jc w:val="both"/>
        <w:rPr>
          <w:rFonts w:ascii="Times New Roman" w:hAnsi="Times New Roman" w:cs="Times New Roman"/>
          <w:b/>
          <w:sz w:val="20"/>
        </w:rPr>
      </w:pPr>
    </w:p>
    <w:p w:rsidR="00091729" w:rsidRPr="00CC7C46" w:rsidRDefault="00091729"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La "conquista" paradossale di Abramo</w:t>
      </w:r>
    </w:p>
    <w:p w:rsidR="00091729" w:rsidRPr="00CC7C46" w:rsidRDefault="00091729"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La promessa di cui Abramo è fatto oggetto in Gen 12,1-3 si rinnova nelle teofanie che egli riceve peregrinando nel paese di Canaan. Sichem (12,6), Betel (12,8), il Neghev (12,9), diventano tre tappe chiavi che ritroviamo non solo nel viaggio di Giacobbe di ritorno da Paddam-Aram (Gen 33,18; 35,1.6.26) ma anche nella futura conquista della Terra Promessa da parte di Giosuè (Gs 7,2; 8,9.14; 8,30). La conquista reale della Terra Promessa si basa così su una conquista ideale, sgorgata esclusivamente dall'elezione e dalla promessa gratuita di Dio. La conquista di Abramo resta la conquista dell'uomo di fede: la promessa che segna la sua vita in realtà si realizzerà solo quando egli sarà deposto nel suo sepolcro. Paradossalmente è proprio in quell'istante che egli diviene "proprietario" di quella terra verso la quale un giorno si era messo in cammino.</w:t>
      </w:r>
    </w:p>
    <w:p w:rsidR="00CC7C46" w:rsidRPr="00135BD6" w:rsidRDefault="00CC7C46" w:rsidP="00CC7C46">
      <w:pPr>
        <w:spacing w:after="0" w:line="276" w:lineRule="auto"/>
        <w:jc w:val="both"/>
        <w:rPr>
          <w:rFonts w:ascii="Times New Roman" w:hAnsi="Times New Roman" w:cs="Times New Roman"/>
          <w:b/>
          <w:sz w:val="18"/>
        </w:rPr>
      </w:pPr>
    </w:p>
    <w:p w:rsidR="00091729" w:rsidRPr="00CC7C46" w:rsidRDefault="00091729"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Da Caino a Giuseppe: la dinamica di maturazione dei rapporti fraterni</w:t>
      </w:r>
    </w:p>
    <w:p w:rsidR="00D01CFB" w:rsidRPr="00CC7C46" w:rsidRDefault="00091729"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Nel racconto della Genesi i rapporti fraterni sono spesso caratterizzati dalla tensione e dal conflitto, dall'invidia (che addirittura può arrivare alla eliminazione fisica) e dalla menzogna. Nella cosiddetta «storia di Giuseppe» (Gen 37-50) la caratterizzazione delle dinamiche di rapporto tra fratelli e tra sorelle raggiunge l'apice della complessità narrativa, riprendendo e "risolvendo" le dinamiche conflittuali emerse nelle altre narrazioni, a partire da Caino e Abele fino a Giacobbe ed Esaù, passando per Abramo e Lot, ma anche per Lia e Rachele. In questo modo il racconto - attraverso un sapiente realismo - mostra come i rapporti della «fraternità umana» siano esito di un lungo lavorio di maturazione, di riconoscimento e promozione dell'alterità irriducibile del «fratello»; cioè, detta dal punto di vista biblico, di promozione e ristabilimento della giustizia.</w:t>
      </w:r>
    </w:p>
    <w:p w:rsidR="00CC7C46" w:rsidRPr="00135BD6" w:rsidRDefault="00CC7C46" w:rsidP="00CC7C46">
      <w:pPr>
        <w:spacing w:after="0" w:line="276" w:lineRule="auto"/>
        <w:jc w:val="both"/>
        <w:rPr>
          <w:rFonts w:ascii="Times New Roman" w:hAnsi="Times New Roman" w:cs="Times New Roman"/>
          <w:sz w:val="20"/>
        </w:rPr>
      </w:pPr>
    </w:p>
    <w:p w:rsidR="00CC7C46" w:rsidRPr="00CC7C46" w:rsidRDefault="00CC7C46" w:rsidP="008428C5">
      <w:pPr>
        <w:pStyle w:val="Paragrafoelenco"/>
        <w:numPr>
          <w:ilvl w:val="0"/>
          <w:numId w:val="1"/>
        </w:numPr>
        <w:spacing w:after="0" w:line="360" w:lineRule="auto"/>
        <w:jc w:val="both"/>
        <w:rPr>
          <w:rFonts w:ascii="Times New Roman" w:hAnsi="Times New Roman" w:cs="Times New Roman"/>
          <w:b/>
          <w:sz w:val="24"/>
        </w:rPr>
      </w:pPr>
      <w:r w:rsidRPr="00CC7C46">
        <w:rPr>
          <w:rFonts w:ascii="Times New Roman" w:hAnsi="Times New Roman" w:cs="Times New Roman"/>
          <w:b/>
          <w:sz w:val="24"/>
        </w:rPr>
        <w:t>CONTESTO STORICO</w:t>
      </w:r>
    </w:p>
    <w:p w:rsidR="00091729" w:rsidRPr="00CC7C46" w:rsidRDefault="00091729" w:rsidP="008428C5">
      <w:pPr>
        <w:spacing w:after="0" w:line="360" w:lineRule="auto"/>
        <w:jc w:val="both"/>
        <w:rPr>
          <w:rFonts w:ascii="Times New Roman" w:hAnsi="Times New Roman" w:cs="Times New Roman"/>
          <w:b/>
          <w:sz w:val="24"/>
        </w:rPr>
      </w:pPr>
      <w:r w:rsidRPr="00CC7C46">
        <w:rPr>
          <w:rFonts w:ascii="Times New Roman" w:hAnsi="Times New Roman" w:cs="Times New Roman"/>
          <w:b/>
          <w:sz w:val="24"/>
        </w:rPr>
        <w:t>Il tempo dei Patriarchi</w:t>
      </w:r>
    </w:p>
    <w:p w:rsidR="00091729" w:rsidRPr="00CC7C46" w:rsidRDefault="00091729"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 xml:space="preserve">La cronologia biblica tradizionale colloca la storia di Abramo tra la fine del III e l'inizio del Il millennio a.C. Si tratta di un periodo di transizione, durante il quale si assiste a una intensa ondata di immigrazione nomadica nella </w:t>
      </w:r>
      <w:r w:rsidRPr="00CC7C46">
        <w:rPr>
          <w:rFonts w:ascii="Times New Roman" w:hAnsi="Times New Roman" w:cs="Times New Roman"/>
          <w:sz w:val="24"/>
        </w:rPr>
        <w:lastRenderedPageBreak/>
        <w:t xml:space="preserve">regione siro-palestinese, in Egitto e in Mesopotamia. In Babilonia la minaccia più consistente proviene dagli Amurru, descritti come nomadi turbolenti e pericolosi, senza alcun costume o </w:t>
      </w:r>
      <w:r w:rsidR="00CC7C46">
        <w:rPr>
          <w:rFonts w:ascii="Times New Roman" w:hAnsi="Times New Roman" w:cs="Times New Roman"/>
          <w:sz w:val="24"/>
        </w:rPr>
        <w:t>morale; né la dinastia degli Ac</w:t>
      </w:r>
      <w:r w:rsidRPr="00CC7C46">
        <w:rPr>
          <w:rFonts w:ascii="Times New Roman" w:hAnsi="Times New Roman" w:cs="Times New Roman"/>
          <w:sz w:val="24"/>
        </w:rPr>
        <w:t>cadi, né quella dei Gutei di Ur riesce a farvi fronte: i regni si sfaldano dividendosi in principati, ognuno dei quali dà origine a una nuova dinastia. La più famosa è senza dubbio la dinastia di Hammurabi di Babilonia (1792-1750 a.C</w:t>
      </w:r>
      <w:r w:rsidR="00CC7C46">
        <w:rPr>
          <w:rFonts w:ascii="Times New Roman" w:hAnsi="Times New Roman" w:cs="Times New Roman"/>
          <w:sz w:val="24"/>
        </w:rPr>
        <w:t>.</w:t>
      </w:r>
      <w:r w:rsidRPr="00CC7C46">
        <w:rPr>
          <w:rFonts w:ascii="Times New Roman" w:hAnsi="Times New Roman" w:cs="Times New Roman"/>
          <w:sz w:val="24"/>
        </w:rPr>
        <w:t>), conosciuto i</w:t>
      </w:r>
      <w:r w:rsidR="00CC7C46">
        <w:rPr>
          <w:rFonts w:ascii="Times New Roman" w:hAnsi="Times New Roman" w:cs="Times New Roman"/>
          <w:sz w:val="24"/>
        </w:rPr>
        <w:t>n modo particolare per il codice</w:t>
      </w:r>
      <w:r w:rsidRPr="00CC7C46">
        <w:rPr>
          <w:rFonts w:ascii="Times New Roman" w:hAnsi="Times New Roman" w:cs="Times New Roman"/>
          <w:sz w:val="24"/>
        </w:rPr>
        <w:t xml:space="preserve"> legislativo che porta il suo nome. In poco più di quarant'anni Hammurabi riuscirà a conquistare tutte le altre città della Mesopotamia e a sottomettere i popoli compresi tra il Golfo Persico e il Mediterraneo, conferendo alla regione un'unità che si manterrà fino alla caduta dell'impero babilonese. L'Egitto, da parte sua, cade sotto il dominio degli Hyksos (1720- 1550 a.C), sovrani stranieri la cui origine resta ancora oscura.</w:t>
      </w:r>
    </w:p>
    <w:p w:rsidR="00CC7C46" w:rsidRPr="00135BD6" w:rsidRDefault="00CC7C46" w:rsidP="00CC7C46">
      <w:pPr>
        <w:spacing w:after="0" w:line="276" w:lineRule="auto"/>
        <w:jc w:val="both"/>
        <w:rPr>
          <w:rFonts w:ascii="Times New Roman" w:hAnsi="Times New Roman" w:cs="Times New Roman"/>
          <w:b/>
          <w:sz w:val="18"/>
        </w:rPr>
      </w:pPr>
    </w:p>
    <w:p w:rsidR="00091729" w:rsidRPr="00CC7C46" w:rsidRDefault="00091729"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Gli Hapiru</w:t>
      </w:r>
    </w:p>
    <w:p w:rsidR="00091729" w:rsidRPr="00CC7C46" w:rsidRDefault="00CC7C46" w:rsidP="00CC7C46">
      <w:pPr>
        <w:spacing w:after="0" w:line="276" w:lineRule="auto"/>
        <w:jc w:val="both"/>
        <w:rPr>
          <w:rFonts w:ascii="Times New Roman" w:hAnsi="Times New Roman" w:cs="Times New Roman"/>
          <w:sz w:val="24"/>
        </w:rPr>
      </w:pPr>
      <w:r>
        <w:rPr>
          <w:rFonts w:ascii="Times New Roman" w:hAnsi="Times New Roman" w:cs="Times New Roman"/>
          <w:sz w:val="24"/>
        </w:rPr>
        <w:t>Attorno al termine accadi</w:t>
      </w:r>
      <w:r w:rsidR="00091729" w:rsidRPr="00CC7C46">
        <w:rPr>
          <w:rFonts w:ascii="Times New Roman" w:hAnsi="Times New Roman" w:cs="Times New Roman"/>
          <w:sz w:val="24"/>
        </w:rPr>
        <w:t xml:space="preserve">co </w:t>
      </w:r>
      <w:r w:rsidR="00091729" w:rsidRPr="00CC7C46">
        <w:rPr>
          <w:rFonts w:ascii="Times New Roman" w:hAnsi="Times New Roman" w:cs="Times New Roman"/>
          <w:i/>
          <w:sz w:val="24"/>
        </w:rPr>
        <w:t>habiru</w:t>
      </w:r>
      <w:r w:rsidR="00091729" w:rsidRPr="00CC7C46">
        <w:rPr>
          <w:rFonts w:ascii="Times New Roman" w:hAnsi="Times New Roman" w:cs="Times New Roman"/>
          <w:sz w:val="24"/>
        </w:rPr>
        <w:t xml:space="preserve"> (o </w:t>
      </w:r>
      <w:r w:rsidR="00091729" w:rsidRPr="00CC7C46">
        <w:rPr>
          <w:rFonts w:ascii="Times New Roman" w:hAnsi="Times New Roman" w:cs="Times New Roman"/>
          <w:i/>
          <w:sz w:val="24"/>
        </w:rPr>
        <w:t>hapiru</w:t>
      </w:r>
      <w:r w:rsidR="00091729" w:rsidRPr="00CC7C46">
        <w:rPr>
          <w:rFonts w:ascii="Times New Roman" w:hAnsi="Times New Roman" w:cs="Times New Roman"/>
          <w:sz w:val="24"/>
        </w:rPr>
        <w:t>) si è sollevata un'enorme discussione, iniziata durante gli anni '30 del XX secolo e interrotta, senza essere stata del tutto risolta, negli anni '70: a partire dalla somiglianza linguistica, ci si chiedeva quale rapporto potesse esistere tra tale termine - indicante una realtà socio-politica di no</w:t>
      </w:r>
      <w:r w:rsidR="003709F9">
        <w:rPr>
          <w:rFonts w:ascii="Times New Roman" w:hAnsi="Times New Roman" w:cs="Times New Roman"/>
          <w:sz w:val="24"/>
        </w:rPr>
        <w:t>tevole portata lungo tutto il II</w:t>
      </w:r>
      <w:r w:rsidR="00091729" w:rsidRPr="00CC7C46">
        <w:rPr>
          <w:rFonts w:ascii="Times New Roman" w:hAnsi="Times New Roman" w:cs="Times New Roman"/>
          <w:sz w:val="24"/>
        </w:rPr>
        <w:t xml:space="preserve"> millennio a.C</w:t>
      </w:r>
      <w:r w:rsidR="003709F9">
        <w:rPr>
          <w:rFonts w:ascii="Times New Roman" w:hAnsi="Times New Roman" w:cs="Times New Roman"/>
          <w:sz w:val="24"/>
        </w:rPr>
        <w:t>.</w:t>
      </w:r>
      <w:r w:rsidR="00091729" w:rsidRPr="00CC7C46">
        <w:rPr>
          <w:rFonts w:ascii="Times New Roman" w:hAnsi="Times New Roman" w:cs="Times New Roman"/>
          <w:sz w:val="24"/>
        </w:rPr>
        <w:t xml:space="preserve">, e diventata importante soprattutto nella sua seconda parte - e gli </w:t>
      </w:r>
      <w:r w:rsidR="00091729" w:rsidRPr="003709F9">
        <w:rPr>
          <w:rFonts w:ascii="Times New Roman" w:hAnsi="Times New Roman" w:cs="Times New Roman"/>
          <w:i/>
          <w:sz w:val="24"/>
        </w:rPr>
        <w:t>'ibr</w:t>
      </w:r>
      <w:r w:rsidR="003709F9" w:rsidRPr="003709F9">
        <w:rPr>
          <w:rFonts w:ascii="Times New Roman" w:hAnsi="Times New Roman" w:cs="Times New Roman"/>
          <w:i/>
          <w:sz w:val="24"/>
        </w:rPr>
        <w:t>î</w:t>
      </w:r>
      <w:r w:rsidR="00091729" w:rsidRPr="003709F9">
        <w:rPr>
          <w:rFonts w:ascii="Times New Roman" w:hAnsi="Times New Roman" w:cs="Times New Roman"/>
          <w:i/>
          <w:sz w:val="24"/>
        </w:rPr>
        <w:t>m</w:t>
      </w:r>
      <w:r w:rsidR="00091729" w:rsidRPr="00CC7C46">
        <w:rPr>
          <w:rFonts w:ascii="Times New Roman" w:hAnsi="Times New Roman" w:cs="Times New Roman"/>
          <w:sz w:val="24"/>
        </w:rPr>
        <w:t xml:space="preserve"> (ebrei) dell'AT (</w:t>
      </w:r>
      <w:r w:rsidR="003709F9">
        <w:rPr>
          <w:rFonts w:ascii="Times New Roman" w:hAnsi="Times New Roman" w:cs="Times New Roman"/>
          <w:i/>
          <w:sz w:val="24"/>
        </w:rPr>
        <w:t>ha-'ibrî</w:t>
      </w:r>
      <w:r w:rsidR="00091729" w:rsidRPr="00CC7C46">
        <w:rPr>
          <w:rFonts w:ascii="Times New Roman" w:hAnsi="Times New Roman" w:cs="Times New Roman"/>
          <w:sz w:val="24"/>
        </w:rPr>
        <w:t xml:space="preserve"> è chiamato anche Abramo in Gen 14,13). </w:t>
      </w:r>
    </w:p>
    <w:p w:rsidR="005C75B2" w:rsidRDefault="00091729"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 xml:space="preserve">Gli Hapiru compaiono a più riprese nelle lettere di </w:t>
      </w:r>
      <w:r w:rsidRPr="003709F9">
        <w:rPr>
          <w:rFonts w:ascii="Times New Roman" w:hAnsi="Times New Roman" w:cs="Times New Roman"/>
          <w:i/>
          <w:sz w:val="24"/>
        </w:rPr>
        <w:t>el-Arnarna</w:t>
      </w:r>
      <w:r w:rsidRPr="00CC7C46">
        <w:rPr>
          <w:rFonts w:ascii="Times New Roman" w:hAnsi="Times New Roman" w:cs="Times New Roman"/>
          <w:sz w:val="24"/>
        </w:rPr>
        <w:t xml:space="preserve"> (XIV sec. a.C</w:t>
      </w:r>
      <w:r w:rsidR="003709F9">
        <w:rPr>
          <w:rFonts w:ascii="Times New Roman" w:hAnsi="Times New Roman" w:cs="Times New Roman"/>
          <w:sz w:val="24"/>
        </w:rPr>
        <w:t>.</w:t>
      </w:r>
      <w:r w:rsidRPr="00CC7C46">
        <w:rPr>
          <w:rFonts w:ascii="Times New Roman" w:hAnsi="Times New Roman" w:cs="Times New Roman"/>
          <w:sz w:val="24"/>
        </w:rPr>
        <w:t xml:space="preserve">) come una minaccia per l'integrità territoriale delle città-stato cananee; si tratta infatti di gruppi di "fuoriusciti" dal proprio contesto sociale di origine, non disponibili ad allinearsi con le componenti sociali stabili delle unità territoriali o urbane. Per quanto riguarda invece il termine </w:t>
      </w:r>
      <w:r w:rsidR="003709F9" w:rsidRPr="003709F9">
        <w:rPr>
          <w:rFonts w:ascii="Times New Roman" w:hAnsi="Times New Roman" w:cs="Times New Roman"/>
          <w:i/>
          <w:sz w:val="24"/>
        </w:rPr>
        <w:t>'ibrîm</w:t>
      </w:r>
      <w:r w:rsidRPr="00CC7C46">
        <w:rPr>
          <w:rFonts w:ascii="Times New Roman" w:hAnsi="Times New Roman" w:cs="Times New Roman"/>
          <w:sz w:val="24"/>
        </w:rPr>
        <w:t>, è probabile che in origine</w:t>
      </w:r>
      <w:r w:rsidR="003709F9">
        <w:rPr>
          <w:rFonts w:ascii="Times New Roman" w:hAnsi="Times New Roman" w:cs="Times New Roman"/>
          <w:sz w:val="24"/>
        </w:rPr>
        <w:t xml:space="preserve"> non indicasse etnicamente gli I</w:t>
      </w:r>
      <w:r w:rsidRPr="00CC7C46">
        <w:rPr>
          <w:rFonts w:ascii="Times New Roman" w:hAnsi="Times New Roman" w:cs="Times New Roman"/>
          <w:sz w:val="24"/>
        </w:rPr>
        <w:t>sraeliti, ma una particolare categoria sociale: persone libere che, per il sopraggiungere di ristrettezze economiche, e quindi di insolvenza, erano costrette a entrare volontariamente nella condizione servile: la legislazione del «Codice dell'alleanza» nomina questa categoria «schiavi ebrei» (Es 21,2). Successivamente il vocabolo, soprattutto</w:t>
      </w:r>
      <w:r w:rsidR="005C75B2" w:rsidRPr="00CC7C46">
        <w:rPr>
          <w:rFonts w:ascii="Times New Roman" w:hAnsi="Times New Roman" w:cs="Times New Roman"/>
          <w:sz w:val="24"/>
        </w:rPr>
        <w:t xml:space="preserve"> nel lessico egiziano e filisteo, acquisì un senso dispregiativo indicante «coloro che sono sottomessi»; da questo punto di vista, si comprende l'applicazione del termine al popolo d'Israele schiavo in Egitto e il fatto che sia diventato, in epoca tardiva e fino </w:t>
      </w:r>
      <w:r w:rsidR="003709F9">
        <w:rPr>
          <w:rFonts w:ascii="Times New Roman" w:hAnsi="Times New Roman" w:cs="Times New Roman"/>
          <w:sz w:val="24"/>
        </w:rPr>
        <w:t>al giorno d'oggi, sinonimo di «I</w:t>
      </w:r>
      <w:r w:rsidR="005C75B2" w:rsidRPr="00CC7C46">
        <w:rPr>
          <w:rFonts w:ascii="Times New Roman" w:hAnsi="Times New Roman" w:cs="Times New Roman"/>
          <w:sz w:val="24"/>
        </w:rPr>
        <w:t>sraelita». Allo stato attuale della ricerche sembra dunque che gli Hapiru, dal punto di vista etnico, non abbiano nulla a che vedere con gli Israeliti.</w:t>
      </w:r>
    </w:p>
    <w:p w:rsidR="003709F9" w:rsidRPr="00135BD6" w:rsidRDefault="003709F9" w:rsidP="00CC7C46">
      <w:pPr>
        <w:spacing w:after="0" w:line="276" w:lineRule="auto"/>
        <w:jc w:val="both"/>
        <w:rPr>
          <w:rFonts w:ascii="Times New Roman" w:hAnsi="Times New Roman" w:cs="Times New Roman"/>
          <w:sz w:val="18"/>
        </w:rPr>
      </w:pPr>
    </w:p>
    <w:p w:rsidR="005C75B2" w:rsidRPr="00CC7C46" w:rsidRDefault="005C75B2" w:rsidP="008428C5">
      <w:pPr>
        <w:pStyle w:val="Paragrafoelenco"/>
        <w:numPr>
          <w:ilvl w:val="0"/>
          <w:numId w:val="1"/>
        </w:numPr>
        <w:spacing w:after="0" w:line="360" w:lineRule="auto"/>
        <w:jc w:val="both"/>
        <w:rPr>
          <w:rFonts w:ascii="Times New Roman" w:hAnsi="Times New Roman" w:cs="Times New Roman"/>
          <w:b/>
          <w:caps/>
          <w:sz w:val="24"/>
        </w:rPr>
      </w:pPr>
      <w:r w:rsidRPr="00CC7C46">
        <w:rPr>
          <w:rFonts w:ascii="Times New Roman" w:hAnsi="Times New Roman" w:cs="Times New Roman"/>
          <w:b/>
          <w:caps/>
          <w:sz w:val="24"/>
        </w:rPr>
        <w:t>Archeologia</w:t>
      </w:r>
    </w:p>
    <w:p w:rsidR="005C75B2" w:rsidRPr="00CC7C46" w:rsidRDefault="005C75B2" w:rsidP="008428C5">
      <w:pPr>
        <w:spacing w:after="0" w:line="360" w:lineRule="auto"/>
        <w:jc w:val="both"/>
        <w:rPr>
          <w:rFonts w:ascii="Times New Roman" w:hAnsi="Times New Roman" w:cs="Times New Roman"/>
          <w:b/>
          <w:sz w:val="24"/>
        </w:rPr>
      </w:pPr>
      <w:r w:rsidRPr="00CC7C46">
        <w:rPr>
          <w:rFonts w:ascii="Times New Roman" w:hAnsi="Times New Roman" w:cs="Times New Roman"/>
          <w:b/>
          <w:sz w:val="24"/>
        </w:rPr>
        <w:t xml:space="preserve">Le lettere di </w:t>
      </w:r>
      <w:r w:rsidRPr="00CC7C46">
        <w:rPr>
          <w:rFonts w:ascii="Times New Roman" w:hAnsi="Times New Roman" w:cs="Times New Roman"/>
          <w:b/>
          <w:i/>
          <w:sz w:val="24"/>
        </w:rPr>
        <w:t>el-Amarna</w:t>
      </w:r>
    </w:p>
    <w:p w:rsidR="005C75B2" w:rsidRPr="00CC7C46" w:rsidRDefault="005C75B2"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Nel 1887, mentre scavava nei dintorni di un cumulo di rovine vicino al suo villaggio - nel territorio di Banu</w:t>
      </w:r>
      <w:r w:rsidR="003709F9">
        <w:rPr>
          <w:rFonts w:ascii="Times New Roman" w:hAnsi="Times New Roman" w:cs="Times New Roman"/>
          <w:sz w:val="24"/>
        </w:rPr>
        <w:t xml:space="preserve"> </w:t>
      </w:r>
      <w:r w:rsidRPr="00CC7C46">
        <w:rPr>
          <w:rFonts w:ascii="Times New Roman" w:hAnsi="Times New Roman" w:cs="Times New Roman"/>
          <w:sz w:val="24"/>
        </w:rPr>
        <w:t>'A</w:t>
      </w:r>
      <w:r w:rsidR="003709F9">
        <w:rPr>
          <w:rFonts w:ascii="Times New Roman" w:hAnsi="Times New Roman" w:cs="Times New Roman"/>
          <w:sz w:val="24"/>
        </w:rPr>
        <w:t>m</w:t>
      </w:r>
      <w:r w:rsidRPr="00CC7C46">
        <w:rPr>
          <w:rFonts w:ascii="Times New Roman" w:hAnsi="Times New Roman" w:cs="Times New Roman"/>
          <w:sz w:val="24"/>
        </w:rPr>
        <w:t xml:space="preserve">ran, presso la località che sarebbe poi diventata famosa come </w:t>
      </w:r>
      <w:r w:rsidRPr="003709F9">
        <w:rPr>
          <w:rFonts w:ascii="Times New Roman" w:hAnsi="Times New Roman" w:cs="Times New Roman"/>
          <w:i/>
          <w:sz w:val="24"/>
        </w:rPr>
        <w:t>Tel el-Amarna</w:t>
      </w:r>
      <w:r w:rsidRPr="00CC7C46">
        <w:rPr>
          <w:rFonts w:ascii="Times New Roman" w:hAnsi="Times New Roman" w:cs="Times New Roman"/>
          <w:sz w:val="24"/>
        </w:rPr>
        <w:t xml:space="preserve"> - una contadina egiziana si imbatté fortuitamente in una serie di blocchi di argilla dura; non riuscendo a percepirne il valore, i responsabili del villaggio della donna decisero di vendere (a prezzi irrisori) le tavolette a dei trafficanti di oggetti antichi. In realtà, come si sarebbe scoperto in seguito, si trattava di documenti archeologici di enorme valore: circa 400 tavol</w:t>
      </w:r>
      <w:r w:rsidR="003709F9">
        <w:rPr>
          <w:rFonts w:ascii="Times New Roman" w:hAnsi="Times New Roman" w:cs="Times New Roman"/>
          <w:sz w:val="24"/>
        </w:rPr>
        <w:t>ette risalenti al XIV secolo a.C</w:t>
      </w:r>
      <w:r w:rsidRPr="00CC7C46">
        <w:rPr>
          <w:rFonts w:ascii="Times New Roman" w:hAnsi="Times New Roman" w:cs="Times New Roman"/>
          <w:sz w:val="24"/>
        </w:rPr>
        <w:t xml:space="preserve">., incise in caratteri cuneiformi, quasi tutte in accadico, la lingua diplomatica dell'epoca. Le «lettere di el-Amarna». come si sarebbe scoperto in seguito, costituiscono parte dell'archivio di corrispondenza diplomatica tra il faraone Akhenaton (Amenhotep IV, ca. 1372-1355 a.C) e i re e governatori vassalli dell'area siro-palestinese, anche se non mancano testimonianze di scambi epistolari con i re indipendenti di Hatti, Mitanni, Assiria, Babilonia e Cipro. </w:t>
      </w:r>
    </w:p>
    <w:p w:rsidR="005C75B2" w:rsidRPr="00CC7C46" w:rsidRDefault="005C75B2"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L'interesse principale di questa documentazione consiste nel fornire elementi di interesse storico sulla situazione della Siria-Palestina del XIV secolo: sistema organizzativo, procedure amministrative, situazione economica, oltre che onomastica, lingua e, in misura minima, religione.</w:t>
      </w:r>
    </w:p>
    <w:p w:rsidR="003709F9" w:rsidRPr="00135BD6" w:rsidRDefault="003709F9" w:rsidP="00CC7C46">
      <w:pPr>
        <w:spacing w:after="0" w:line="276" w:lineRule="auto"/>
        <w:jc w:val="both"/>
        <w:rPr>
          <w:rFonts w:ascii="Times New Roman" w:hAnsi="Times New Roman" w:cs="Times New Roman"/>
          <w:b/>
          <w:sz w:val="18"/>
        </w:rPr>
      </w:pPr>
    </w:p>
    <w:p w:rsidR="005C75B2" w:rsidRPr="00CC7C46" w:rsidRDefault="005C75B2"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La tomba dei Patriarchi a Ebron</w:t>
      </w:r>
    </w:p>
    <w:p w:rsidR="005C75B2" w:rsidRPr="00CC7C46" w:rsidRDefault="005C75B2"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 xml:space="preserve">Situata 30 km a sud-ovest di Gerusalemme, la città di Ebron - l'antica </w:t>
      </w:r>
      <w:r w:rsidRPr="003709F9">
        <w:rPr>
          <w:rFonts w:ascii="Times New Roman" w:hAnsi="Times New Roman" w:cs="Times New Roman"/>
          <w:i/>
          <w:sz w:val="24"/>
        </w:rPr>
        <w:t>Kiriat-Arba</w:t>
      </w:r>
      <w:r w:rsidRPr="00CC7C46">
        <w:rPr>
          <w:rFonts w:ascii="Times New Roman" w:hAnsi="Times New Roman" w:cs="Times New Roman"/>
          <w:sz w:val="24"/>
        </w:rPr>
        <w:t xml:space="preserve"> -, venne fondata dagli Hykso</w:t>
      </w:r>
      <w:r w:rsidR="003709F9">
        <w:rPr>
          <w:rFonts w:ascii="Times New Roman" w:hAnsi="Times New Roman" w:cs="Times New Roman"/>
          <w:sz w:val="24"/>
        </w:rPr>
        <w:t>s all'inizio del XVII secolo a.C</w:t>
      </w:r>
      <w:r w:rsidRPr="00CC7C46">
        <w:rPr>
          <w:rFonts w:ascii="Times New Roman" w:hAnsi="Times New Roman" w:cs="Times New Roman"/>
          <w:sz w:val="24"/>
        </w:rPr>
        <w:t>., anche se i resti più antichi risalgono al periodo Calcolitico. È luogo di pellegrinaggio per ebrei, cristiani e musulmani, dato che secondo la tradizione sono sepolti qui, nella grotta di Macpela, acquistata da Abramo per farne una tomba di famiglia (Gen 23), lo stesso Abramo, Sara</w:t>
      </w:r>
      <w:r w:rsidR="00353539">
        <w:rPr>
          <w:rFonts w:ascii="Times New Roman" w:hAnsi="Times New Roman" w:cs="Times New Roman"/>
          <w:sz w:val="24"/>
        </w:rPr>
        <w:t>, Isacco e Rebecca, Giacobbe e L</w:t>
      </w:r>
      <w:r w:rsidRPr="00CC7C46">
        <w:rPr>
          <w:rFonts w:ascii="Times New Roman" w:hAnsi="Times New Roman" w:cs="Times New Roman"/>
          <w:sz w:val="24"/>
        </w:rPr>
        <w:t>ia (Gen 49,31; 50,13). Secondo il racconto di Flavio Giuseppe (</w:t>
      </w:r>
      <w:r w:rsidRPr="003709F9">
        <w:rPr>
          <w:rFonts w:ascii="Times New Roman" w:hAnsi="Times New Roman" w:cs="Times New Roman"/>
          <w:i/>
          <w:sz w:val="24"/>
        </w:rPr>
        <w:t>Antichità giudaiche</w:t>
      </w:r>
      <w:r w:rsidRPr="00CC7C46">
        <w:rPr>
          <w:rFonts w:ascii="Times New Roman" w:hAnsi="Times New Roman" w:cs="Times New Roman"/>
          <w:sz w:val="24"/>
        </w:rPr>
        <w:t xml:space="preserve"> 2,199; 3,305), vennero sepolti qui </w:t>
      </w:r>
      <w:r w:rsidRPr="00CC7C46">
        <w:rPr>
          <w:rFonts w:ascii="Times New Roman" w:hAnsi="Times New Roman" w:cs="Times New Roman"/>
          <w:sz w:val="24"/>
        </w:rPr>
        <w:lastRenderedPageBreak/>
        <w:t xml:space="preserve">anche i figli di Giacobbe, tranne Giuseppe. A Ebron Davide venne consacrato re di Giuda (2Sam 2,4) e più tardi anche re di Israele (2Sam 5,3) e ne fece la capitale fino al trasferimento a Gerusalemme, sette anni dopo. Assalonne, il figlio ribelle, fece di Ebron il centro della sua rivolta (2Sam 15,7-12). Il grande edificio che custodisce le «tombe dei Patriarchi», situato nel cuore della città, comprende una moschea, una sinagoga e la caverna di Macpela. Il complesso testimonia interventi architettonici di diverse epoche storiche: erodiana, bizantina, crociata e islamica. A partire dal X secolo d.C. il luogo assunse il nome di </w:t>
      </w:r>
      <w:r w:rsidRPr="003709F9">
        <w:rPr>
          <w:rFonts w:ascii="Times New Roman" w:hAnsi="Times New Roman" w:cs="Times New Roman"/>
          <w:i/>
          <w:sz w:val="24"/>
        </w:rPr>
        <w:t>Mashad Ibrahim el Khalil</w:t>
      </w:r>
      <w:r w:rsidR="003709F9">
        <w:rPr>
          <w:rFonts w:ascii="Times New Roman" w:hAnsi="Times New Roman" w:cs="Times New Roman"/>
          <w:sz w:val="24"/>
        </w:rPr>
        <w:t xml:space="preserve"> («</w:t>
      </w:r>
      <w:r w:rsidRPr="00CC7C46">
        <w:rPr>
          <w:rFonts w:ascii="Times New Roman" w:hAnsi="Times New Roman" w:cs="Times New Roman"/>
          <w:sz w:val="24"/>
        </w:rPr>
        <w:t>luogo di Abramo, amico di Dio»). La prima esplorazione documentata della caverna fu fatta dai Canonici di sant'Agostino nel 1119, seguita solamente da una esplorazione clandestina israeliana all'inizio degli anni '70 del XX secolo: sembra che uno stretto corridoio conduca a una stanza rotonda dalla quale si apre l'accesso su un'ampia caverna scavata nella roccia. Allo stato attuale, essendo vietato l'accesso al complesso architettonico, non è possibile saperne di più.</w:t>
      </w:r>
    </w:p>
    <w:p w:rsidR="003709F9" w:rsidRPr="00135BD6" w:rsidRDefault="003709F9" w:rsidP="00CC7C46">
      <w:pPr>
        <w:spacing w:after="0" w:line="276" w:lineRule="auto"/>
        <w:jc w:val="both"/>
        <w:rPr>
          <w:rFonts w:ascii="Times New Roman" w:hAnsi="Times New Roman" w:cs="Times New Roman"/>
          <w:b/>
          <w:sz w:val="18"/>
        </w:rPr>
      </w:pPr>
    </w:p>
    <w:p w:rsidR="005C75B2" w:rsidRPr="00CC7C46" w:rsidRDefault="005C75B2" w:rsidP="00CC7C46">
      <w:pPr>
        <w:spacing w:after="0" w:line="276" w:lineRule="auto"/>
        <w:jc w:val="both"/>
        <w:rPr>
          <w:rFonts w:ascii="Times New Roman" w:hAnsi="Times New Roman" w:cs="Times New Roman"/>
          <w:b/>
          <w:sz w:val="24"/>
        </w:rPr>
      </w:pPr>
      <w:r w:rsidRPr="00CC7C46">
        <w:rPr>
          <w:rFonts w:ascii="Times New Roman" w:hAnsi="Times New Roman" w:cs="Times New Roman"/>
          <w:b/>
          <w:sz w:val="24"/>
        </w:rPr>
        <w:t>Un dipinto racconta</w:t>
      </w:r>
    </w:p>
    <w:p w:rsidR="005C75B2" w:rsidRDefault="005C75B2" w:rsidP="00CC7C46">
      <w:pPr>
        <w:spacing w:after="0" w:line="276" w:lineRule="auto"/>
        <w:jc w:val="both"/>
        <w:rPr>
          <w:rFonts w:ascii="Times New Roman" w:hAnsi="Times New Roman" w:cs="Times New Roman"/>
          <w:sz w:val="24"/>
        </w:rPr>
      </w:pPr>
      <w:r w:rsidRPr="00CC7C46">
        <w:rPr>
          <w:rFonts w:ascii="Times New Roman" w:hAnsi="Times New Roman" w:cs="Times New Roman"/>
          <w:sz w:val="24"/>
        </w:rPr>
        <w:t>È all</w:t>
      </w:r>
      <w:r w:rsidR="00361176" w:rsidRPr="00CC7C46">
        <w:rPr>
          <w:rFonts w:ascii="Times New Roman" w:hAnsi="Times New Roman" w:cs="Times New Roman"/>
          <w:sz w:val="24"/>
        </w:rPr>
        <w:t>a sabbia secca del deserto d'E</w:t>
      </w:r>
      <w:r w:rsidRPr="00CC7C46">
        <w:rPr>
          <w:rFonts w:ascii="Times New Roman" w:hAnsi="Times New Roman" w:cs="Times New Roman"/>
          <w:sz w:val="24"/>
        </w:rPr>
        <w:t>gitto c</w:t>
      </w:r>
      <w:r w:rsidR="00361176" w:rsidRPr="00CC7C46">
        <w:rPr>
          <w:rFonts w:ascii="Times New Roman" w:hAnsi="Times New Roman" w:cs="Times New Roman"/>
          <w:sz w:val="24"/>
        </w:rPr>
        <w:t xml:space="preserve">he dobbiamo la conservazione </w:t>
      </w:r>
      <w:r w:rsidRPr="00CC7C46">
        <w:rPr>
          <w:rFonts w:ascii="Times New Roman" w:hAnsi="Times New Roman" w:cs="Times New Roman"/>
          <w:sz w:val="24"/>
        </w:rPr>
        <w:t>di testi ge</w:t>
      </w:r>
      <w:r w:rsidR="00361176" w:rsidRPr="00CC7C46">
        <w:rPr>
          <w:rFonts w:ascii="Times New Roman" w:hAnsi="Times New Roman" w:cs="Times New Roman"/>
          <w:sz w:val="24"/>
        </w:rPr>
        <w:t>roglifici, testimoni dell'immi</w:t>
      </w:r>
      <w:r w:rsidRPr="00CC7C46">
        <w:rPr>
          <w:rFonts w:ascii="Times New Roman" w:hAnsi="Times New Roman" w:cs="Times New Roman"/>
          <w:sz w:val="24"/>
        </w:rPr>
        <w:t>grazione di</w:t>
      </w:r>
      <w:r w:rsidR="00361176" w:rsidRPr="00CC7C46">
        <w:rPr>
          <w:rFonts w:ascii="Times New Roman" w:hAnsi="Times New Roman" w:cs="Times New Roman"/>
          <w:sz w:val="24"/>
        </w:rPr>
        <w:t xml:space="preserve"> gruppi semiti nella valle del </w:t>
      </w:r>
      <w:r w:rsidRPr="00CC7C46">
        <w:rPr>
          <w:rFonts w:ascii="Times New Roman" w:hAnsi="Times New Roman" w:cs="Times New Roman"/>
          <w:sz w:val="24"/>
        </w:rPr>
        <w:t>Nilo. La</w:t>
      </w:r>
      <w:r w:rsidR="00361176" w:rsidRPr="00CC7C46">
        <w:rPr>
          <w:rFonts w:ascii="Times New Roman" w:hAnsi="Times New Roman" w:cs="Times New Roman"/>
          <w:sz w:val="24"/>
        </w:rPr>
        <w:t xml:space="preserve"> testimonianza più eloquente e </w:t>
      </w:r>
      <w:r w:rsidRPr="00CC7C46">
        <w:rPr>
          <w:rFonts w:ascii="Times New Roman" w:hAnsi="Times New Roman" w:cs="Times New Roman"/>
          <w:sz w:val="24"/>
        </w:rPr>
        <w:t>più affas</w:t>
      </w:r>
      <w:r w:rsidR="00361176" w:rsidRPr="00CC7C46">
        <w:rPr>
          <w:rFonts w:ascii="Times New Roman" w:hAnsi="Times New Roman" w:cs="Times New Roman"/>
          <w:sz w:val="24"/>
        </w:rPr>
        <w:t>cinante in questo senso, è tut</w:t>
      </w:r>
      <w:r w:rsidRPr="00CC7C46">
        <w:rPr>
          <w:rFonts w:ascii="Times New Roman" w:hAnsi="Times New Roman" w:cs="Times New Roman"/>
          <w:sz w:val="24"/>
        </w:rPr>
        <w:t>tavia co</w:t>
      </w:r>
      <w:r w:rsidR="00361176" w:rsidRPr="00CC7C46">
        <w:rPr>
          <w:rFonts w:ascii="Times New Roman" w:hAnsi="Times New Roman" w:cs="Times New Roman"/>
          <w:sz w:val="24"/>
        </w:rPr>
        <w:t xml:space="preserve">stituita da un dipinto murale, </w:t>
      </w:r>
      <w:r w:rsidRPr="00CC7C46">
        <w:rPr>
          <w:rFonts w:ascii="Times New Roman" w:hAnsi="Times New Roman" w:cs="Times New Roman"/>
          <w:sz w:val="24"/>
        </w:rPr>
        <w:t>risalente al XX sec</w:t>
      </w:r>
      <w:r w:rsidR="00361176" w:rsidRPr="00CC7C46">
        <w:rPr>
          <w:rFonts w:ascii="Times New Roman" w:hAnsi="Times New Roman" w:cs="Times New Roman"/>
          <w:sz w:val="24"/>
        </w:rPr>
        <w:t>olo a.C</w:t>
      </w:r>
      <w:r w:rsidR="003709F9">
        <w:rPr>
          <w:rFonts w:ascii="Times New Roman" w:hAnsi="Times New Roman" w:cs="Times New Roman"/>
          <w:sz w:val="24"/>
        </w:rPr>
        <w:t>.</w:t>
      </w:r>
      <w:r w:rsidR="00361176" w:rsidRPr="00CC7C46">
        <w:rPr>
          <w:rFonts w:ascii="Times New Roman" w:hAnsi="Times New Roman" w:cs="Times New Roman"/>
          <w:sz w:val="24"/>
        </w:rPr>
        <w:t xml:space="preserve">, ritrovato a </w:t>
      </w:r>
      <w:r w:rsidRPr="003709F9">
        <w:rPr>
          <w:rFonts w:ascii="Times New Roman" w:hAnsi="Times New Roman" w:cs="Times New Roman"/>
          <w:i/>
          <w:sz w:val="24"/>
        </w:rPr>
        <w:t>Beni-H</w:t>
      </w:r>
      <w:r w:rsidR="00361176" w:rsidRPr="003709F9">
        <w:rPr>
          <w:rFonts w:ascii="Times New Roman" w:hAnsi="Times New Roman" w:cs="Times New Roman"/>
          <w:i/>
          <w:sz w:val="24"/>
        </w:rPr>
        <w:t>assan</w:t>
      </w:r>
      <w:r w:rsidR="00361176" w:rsidRPr="00CC7C46">
        <w:rPr>
          <w:rFonts w:ascii="Times New Roman" w:hAnsi="Times New Roman" w:cs="Times New Roman"/>
          <w:sz w:val="24"/>
        </w:rPr>
        <w:t xml:space="preserve">, a metà strada tra Menfi </w:t>
      </w:r>
      <w:r w:rsidRPr="00CC7C46">
        <w:rPr>
          <w:rFonts w:ascii="Times New Roman" w:hAnsi="Times New Roman" w:cs="Times New Roman"/>
          <w:sz w:val="24"/>
        </w:rPr>
        <w:t>e Tebe. Il</w:t>
      </w:r>
      <w:r w:rsidR="00361176" w:rsidRPr="00CC7C46">
        <w:rPr>
          <w:rFonts w:ascii="Times New Roman" w:hAnsi="Times New Roman" w:cs="Times New Roman"/>
          <w:sz w:val="24"/>
        </w:rPr>
        <w:t xml:space="preserve"> dipinto, che ritrae scene del</w:t>
      </w:r>
      <w:r w:rsidRPr="00CC7C46">
        <w:rPr>
          <w:rFonts w:ascii="Times New Roman" w:hAnsi="Times New Roman" w:cs="Times New Roman"/>
          <w:sz w:val="24"/>
        </w:rPr>
        <w:t>la vita di</w:t>
      </w:r>
      <w:r w:rsidR="00361176" w:rsidRPr="00CC7C46">
        <w:rPr>
          <w:rFonts w:ascii="Times New Roman" w:hAnsi="Times New Roman" w:cs="Times New Roman"/>
          <w:sz w:val="24"/>
        </w:rPr>
        <w:t xml:space="preserve"> un principe egiziano (giochi, </w:t>
      </w:r>
      <w:r w:rsidRPr="00CC7C46">
        <w:rPr>
          <w:rFonts w:ascii="Times New Roman" w:hAnsi="Times New Roman" w:cs="Times New Roman"/>
          <w:sz w:val="24"/>
        </w:rPr>
        <w:t>caccia,</w:t>
      </w:r>
      <w:r w:rsidR="00361176" w:rsidRPr="00CC7C46">
        <w:rPr>
          <w:rFonts w:ascii="Times New Roman" w:hAnsi="Times New Roman" w:cs="Times New Roman"/>
          <w:sz w:val="24"/>
        </w:rPr>
        <w:t xml:space="preserve"> danze) raffigura alcuni perso</w:t>
      </w:r>
      <w:r w:rsidRPr="00CC7C46">
        <w:rPr>
          <w:rFonts w:ascii="Times New Roman" w:hAnsi="Times New Roman" w:cs="Times New Roman"/>
          <w:sz w:val="24"/>
        </w:rPr>
        <w:t>naggi che</w:t>
      </w:r>
      <w:r w:rsidR="00361176" w:rsidRPr="00CC7C46">
        <w:rPr>
          <w:rFonts w:ascii="Times New Roman" w:hAnsi="Times New Roman" w:cs="Times New Roman"/>
          <w:sz w:val="24"/>
        </w:rPr>
        <w:t xml:space="preserve">, a causa della diversa foggia </w:t>
      </w:r>
      <w:r w:rsidRPr="00CC7C46">
        <w:rPr>
          <w:rFonts w:ascii="Times New Roman" w:hAnsi="Times New Roman" w:cs="Times New Roman"/>
          <w:sz w:val="24"/>
        </w:rPr>
        <w:t>di vestiario, della pelle più ch</w:t>
      </w:r>
      <w:r w:rsidR="00361176" w:rsidRPr="00CC7C46">
        <w:rPr>
          <w:rFonts w:ascii="Times New Roman" w:hAnsi="Times New Roman" w:cs="Times New Roman"/>
          <w:sz w:val="24"/>
        </w:rPr>
        <w:t xml:space="preserve">iara e dei </w:t>
      </w:r>
      <w:r w:rsidRPr="00CC7C46">
        <w:rPr>
          <w:rFonts w:ascii="Times New Roman" w:hAnsi="Times New Roman" w:cs="Times New Roman"/>
          <w:sz w:val="24"/>
        </w:rPr>
        <w:t>tratti s</w:t>
      </w:r>
      <w:r w:rsidR="00361176" w:rsidRPr="00CC7C46">
        <w:rPr>
          <w:rFonts w:ascii="Times New Roman" w:hAnsi="Times New Roman" w:cs="Times New Roman"/>
          <w:sz w:val="24"/>
        </w:rPr>
        <w:t>omatici più squadrati, sono fa</w:t>
      </w:r>
      <w:r w:rsidRPr="00CC7C46">
        <w:rPr>
          <w:rFonts w:ascii="Times New Roman" w:hAnsi="Times New Roman" w:cs="Times New Roman"/>
          <w:sz w:val="24"/>
        </w:rPr>
        <w:t>cilmente</w:t>
      </w:r>
      <w:r w:rsidR="00361176" w:rsidRPr="00CC7C46">
        <w:rPr>
          <w:rFonts w:ascii="Times New Roman" w:hAnsi="Times New Roman" w:cs="Times New Roman"/>
          <w:sz w:val="24"/>
        </w:rPr>
        <w:t xml:space="preserve"> riconoscibili come stranieri. </w:t>
      </w:r>
      <w:r w:rsidRPr="00CC7C46">
        <w:rPr>
          <w:rFonts w:ascii="Times New Roman" w:hAnsi="Times New Roman" w:cs="Times New Roman"/>
          <w:sz w:val="24"/>
        </w:rPr>
        <w:t>Questi</w:t>
      </w:r>
      <w:r w:rsidR="00361176" w:rsidRPr="00CC7C46">
        <w:rPr>
          <w:rFonts w:ascii="Times New Roman" w:hAnsi="Times New Roman" w:cs="Times New Roman"/>
          <w:sz w:val="24"/>
        </w:rPr>
        <w:t xml:space="preserve"> vengono presentati al faraone </w:t>
      </w:r>
      <w:r w:rsidRPr="00CC7C46">
        <w:rPr>
          <w:rFonts w:ascii="Times New Roman" w:hAnsi="Times New Roman" w:cs="Times New Roman"/>
          <w:sz w:val="24"/>
        </w:rPr>
        <w:t xml:space="preserve">da due </w:t>
      </w:r>
      <w:r w:rsidR="00361176" w:rsidRPr="00CC7C46">
        <w:rPr>
          <w:rFonts w:ascii="Times New Roman" w:hAnsi="Times New Roman" w:cs="Times New Roman"/>
          <w:sz w:val="24"/>
        </w:rPr>
        <w:t xml:space="preserve">funzionari regi, uno dei quali </w:t>
      </w:r>
      <w:r w:rsidRPr="00CC7C46">
        <w:rPr>
          <w:rFonts w:ascii="Times New Roman" w:hAnsi="Times New Roman" w:cs="Times New Roman"/>
          <w:sz w:val="24"/>
        </w:rPr>
        <w:t>reca un p</w:t>
      </w:r>
      <w:r w:rsidR="00361176" w:rsidRPr="00CC7C46">
        <w:rPr>
          <w:rFonts w:ascii="Times New Roman" w:hAnsi="Times New Roman" w:cs="Times New Roman"/>
          <w:sz w:val="24"/>
        </w:rPr>
        <w:t xml:space="preserve">apiro con un'iscrizione su cui </w:t>
      </w:r>
      <w:r w:rsidRPr="00CC7C46">
        <w:rPr>
          <w:rFonts w:ascii="Times New Roman" w:hAnsi="Times New Roman" w:cs="Times New Roman"/>
          <w:sz w:val="24"/>
        </w:rPr>
        <w:t>si legge:</w:t>
      </w:r>
      <w:r w:rsidR="00361176" w:rsidRPr="00CC7C46">
        <w:rPr>
          <w:rFonts w:ascii="Times New Roman" w:hAnsi="Times New Roman" w:cs="Times New Roman"/>
          <w:sz w:val="24"/>
        </w:rPr>
        <w:t xml:space="preserve"> «abitanti della sabbia», cioè </w:t>
      </w:r>
      <w:r w:rsidRPr="00CC7C46">
        <w:rPr>
          <w:rFonts w:ascii="Times New Roman" w:hAnsi="Times New Roman" w:cs="Times New Roman"/>
          <w:sz w:val="24"/>
        </w:rPr>
        <w:t>«semiti»</w:t>
      </w:r>
      <w:r w:rsidR="00361176" w:rsidRPr="00CC7C46">
        <w:rPr>
          <w:rFonts w:ascii="Times New Roman" w:hAnsi="Times New Roman" w:cs="Times New Roman"/>
          <w:sz w:val="24"/>
        </w:rPr>
        <w:t>. Il testo riporta anche il no</w:t>
      </w:r>
      <w:r w:rsidRPr="00CC7C46">
        <w:rPr>
          <w:rFonts w:ascii="Times New Roman" w:hAnsi="Times New Roman" w:cs="Times New Roman"/>
          <w:sz w:val="24"/>
        </w:rPr>
        <w:t>me di «Ab</w:t>
      </w:r>
      <w:r w:rsidR="00361176" w:rsidRPr="00CC7C46">
        <w:rPr>
          <w:rFonts w:ascii="Times New Roman" w:hAnsi="Times New Roman" w:cs="Times New Roman"/>
          <w:sz w:val="24"/>
        </w:rPr>
        <w:t xml:space="preserve">isai», giunto in Egitto con 36 </w:t>
      </w:r>
      <w:r w:rsidRPr="00CC7C46">
        <w:rPr>
          <w:rFonts w:ascii="Times New Roman" w:hAnsi="Times New Roman" w:cs="Times New Roman"/>
          <w:sz w:val="24"/>
        </w:rPr>
        <w:t xml:space="preserve">membri </w:t>
      </w:r>
      <w:r w:rsidR="00361176" w:rsidRPr="00CC7C46">
        <w:rPr>
          <w:rFonts w:ascii="Times New Roman" w:hAnsi="Times New Roman" w:cs="Times New Roman"/>
          <w:sz w:val="24"/>
        </w:rPr>
        <w:t xml:space="preserve">della sua tribù: uomini, donne </w:t>
      </w:r>
      <w:r w:rsidRPr="00CC7C46">
        <w:rPr>
          <w:rFonts w:ascii="Times New Roman" w:hAnsi="Times New Roman" w:cs="Times New Roman"/>
          <w:sz w:val="24"/>
        </w:rPr>
        <w:t>e bambin</w:t>
      </w:r>
      <w:r w:rsidR="00361176" w:rsidRPr="00CC7C46">
        <w:rPr>
          <w:rFonts w:ascii="Times New Roman" w:hAnsi="Times New Roman" w:cs="Times New Roman"/>
          <w:sz w:val="24"/>
        </w:rPr>
        <w:t>i. L'opera è così ben conserva</w:t>
      </w:r>
      <w:r w:rsidRPr="00CC7C46">
        <w:rPr>
          <w:rFonts w:ascii="Times New Roman" w:hAnsi="Times New Roman" w:cs="Times New Roman"/>
          <w:sz w:val="24"/>
        </w:rPr>
        <w:t>ta da poter</w:t>
      </w:r>
      <w:r w:rsidR="00361176" w:rsidRPr="00CC7C46">
        <w:rPr>
          <w:rFonts w:ascii="Times New Roman" w:hAnsi="Times New Roman" w:cs="Times New Roman"/>
          <w:sz w:val="24"/>
        </w:rPr>
        <w:t>ci restituire una viva imma</w:t>
      </w:r>
      <w:r w:rsidRPr="00CC7C46">
        <w:rPr>
          <w:rFonts w:ascii="Times New Roman" w:hAnsi="Times New Roman" w:cs="Times New Roman"/>
          <w:sz w:val="24"/>
        </w:rPr>
        <w:t>gine de</w:t>
      </w:r>
      <w:r w:rsidR="00361176" w:rsidRPr="00CC7C46">
        <w:rPr>
          <w:rFonts w:ascii="Times New Roman" w:hAnsi="Times New Roman" w:cs="Times New Roman"/>
          <w:sz w:val="24"/>
        </w:rPr>
        <w:t xml:space="preserve">i viaggi che Abramo prima, e i </w:t>
      </w:r>
      <w:r w:rsidRPr="00CC7C46">
        <w:rPr>
          <w:rFonts w:ascii="Times New Roman" w:hAnsi="Times New Roman" w:cs="Times New Roman"/>
          <w:sz w:val="24"/>
        </w:rPr>
        <w:t>figli di Giacobbe</w:t>
      </w:r>
      <w:r w:rsidR="00361176" w:rsidRPr="00CC7C46">
        <w:rPr>
          <w:rFonts w:ascii="Times New Roman" w:hAnsi="Times New Roman" w:cs="Times New Roman"/>
          <w:sz w:val="24"/>
        </w:rPr>
        <w:t xml:space="preserve"> poi, fecero in Egitto in </w:t>
      </w:r>
      <w:r w:rsidRPr="00CC7C46">
        <w:rPr>
          <w:rFonts w:ascii="Times New Roman" w:hAnsi="Times New Roman" w:cs="Times New Roman"/>
          <w:sz w:val="24"/>
        </w:rPr>
        <w:t>tempo di carestia.</w:t>
      </w:r>
    </w:p>
    <w:p w:rsidR="003E5D0C" w:rsidRPr="00135BD6" w:rsidRDefault="003E5D0C" w:rsidP="00CC7C46">
      <w:pPr>
        <w:spacing w:after="0" w:line="276" w:lineRule="auto"/>
        <w:jc w:val="both"/>
        <w:rPr>
          <w:rFonts w:ascii="Times New Roman" w:hAnsi="Times New Roman" w:cs="Times New Roman"/>
          <w:sz w:val="18"/>
        </w:rPr>
      </w:pPr>
    </w:p>
    <w:tbl>
      <w:tblPr>
        <w:tblStyle w:val="Grigliatabella"/>
        <w:tblW w:w="0" w:type="auto"/>
        <w:tblLook w:val="04A0"/>
      </w:tblPr>
      <w:tblGrid>
        <w:gridCol w:w="11216"/>
      </w:tblGrid>
      <w:tr w:rsidR="003E5D0C" w:rsidTr="003E5D0C">
        <w:tc>
          <w:tcPr>
            <w:tcW w:w="11216" w:type="dxa"/>
          </w:tcPr>
          <w:p w:rsidR="003E5D0C" w:rsidRPr="003E5D0C" w:rsidRDefault="003E5D0C" w:rsidP="003E5D0C">
            <w:pPr>
              <w:spacing w:line="276" w:lineRule="auto"/>
              <w:jc w:val="center"/>
              <w:rPr>
                <w:rFonts w:ascii="Garamond" w:hAnsi="Garamond" w:cs="Times New Roman"/>
                <w:b/>
                <w:i/>
                <w:sz w:val="24"/>
                <w:u w:val="single"/>
              </w:rPr>
            </w:pPr>
            <w:r w:rsidRPr="003E5D0C">
              <w:rPr>
                <w:rFonts w:ascii="Garamond" w:hAnsi="Garamond" w:cs="Times New Roman"/>
                <w:b/>
                <w:i/>
                <w:sz w:val="24"/>
                <w:u w:val="single"/>
              </w:rPr>
              <w:t>FLASH</w:t>
            </w:r>
          </w:p>
        </w:tc>
      </w:tr>
      <w:tr w:rsidR="003E5D0C" w:rsidTr="003E5D0C">
        <w:tc>
          <w:tcPr>
            <w:tcW w:w="11216" w:type="dxa"/>
          </w:tcPr>
          <w:p w:rsidR="003E5D0C" w:rsidRPr="003E5D0C" w:rsidRDefault="003E5D0C" w:rsidP="003E5D0C">
            <w:pPr>
              <w:spacing w:line="276" w:lineRule="auto"/>
              <w:jc w:val="both"/>
              <w:rPr>
                <w:rFonts w:ascii="Times New Roman" w:hAnsi="Times New Roman" w:cs="Times New Roman"/>
                <w:b/>
                <w:smallCaps/>
                <w:sz w:val="24"/>
              </w:rPr>
            </w:pPr>
            <w:r w:rsidRPr="003E5D0C">
              <w:rPr>
                <w:rFonts w:ascii="Times New Roman" w:hAnsi="Times New Roman" w:cs="Times New Roman"/>
                <w:b/>
                <w:smallCaps/>
                <w:sz w:val="24"/>
              </w:rPr>
              <w:t>Storia e racconto storico</w:t>
            </w:r>
          </w:p>
          <w:p w:rsidR="003E5D0C" w:rsidRDefault="003E5D0C" w:rsidP="003E5D0C">
            <w:pPr>
              <w:spacing w:line="276" w:lineRule="auto"/>
              <w:jc w:val="both"/>
              <w:rPr>
                <w:rFonts w:ascii="Times New Roman" w:hAnsi="Times New Roman" w:cs="Times New Roman"/>
                <w:sz w:val="24"/>
              </w:rPr>
            </w:pPr>
            <w:r w:rsidRPr="003E5D0C">
              <w:rPr>
                <w:rFonts w:ascii="Times New Roman" w:hAnsi="Times New Roman" w:cs="Times New Roman"/>
                <w:sz w:val="24"/>
              </w:rPr>
              <w:t>Il va</w:t>
            </w:r>
            <w:r>
              <w:rPr>
                <w:rFonts w:ascii="Times New Roman" w:hAnsi="Times New Roman" w:cs="Times New Roman"/>
                <w:sz w:val="24"/>
              </w:rPr>
              <w:t xml:space="preserve">lore storiografico del racconto biblico non ha la stessa pertinenza che ad esso viene assegnato dalla scienza storica moderna; mentre per quest'ultima il valore storiografico è determinato dalla storicità dei fatti riportati (e quindi, </w:t>
            </w:r>
            <w:r w:rsidRPr="003E5D0C">
              <w:rPr>
                <w:rFonts w:ascii="Times New Roman" w:hAnsi="Times New Roman" w:cs="Times New Roman"/>
                <w:sz w:val="24"/>
              </w:rPr>
              <w:t>in qua</w:t>
            </w:r>
            <w:r>
              <w:rPr>
                <w:rFonts w:ascii="Times New Roman" w:hAnsi="Times New Roman" w:cs="Times New Roman"/>
                <w:sz w:val="24"/>
              </w:rPr>
              <w:t xml:space="preserve">lche modo, dalla loro «verificabilità» documentaria), per la Bibbia il punto chiave è la verità (teologica) della storia. A questo scopo le narrazioni bibliche fanno ricorso alle convenzioni della storiografia antica, comunque differenti da quelle della storiografia critica della modernità. Come afferma Jean-Pierre Sonnet, «sono necessarie tante storie per raccontare la Storia»: la verità e il senso della storia sono veicolati più dal racconto </w:t>
            </w:r>
            <w:r w:rsidRPr="003E5D0C">
              <w:rPr>
                <w:rFonts w:ascii="Times New Roman" w:hAnsi="Times New Roman" w:cs="Times New Roman"/>
                <w:sz w:val="24"/>
              </w:rPr>
              <w:t>che dai documenti.</w:t>
            </w:r>
          </w:p>
        </w:tc>
      </w:tr>
    </w:tbl>
    <w:p w:rsidR="003E5D0C" w:rsidRPr="00135BD6" w:rsidRDefault="003E5D0C" w:rsidP="00CC7C46">
      <w:pPr>
        <w:spacing w:after="0" w:line="276" w:lineRule="auto"/>
        <w:jc w:val="both"/>
        <w:rPr>
          <w:rFonts w:ascii="Times New Roman" w:hAnsi="Times New Roman" w:cs="Times New Roman"/>
          <w:sz w:val="20"/>
        </w:rPr>
      </w:pPr>
    </w:p>
    <w:tbl>
      <w:tblPr>
        <w:tblStyle w:val="Grigliatabella"/>
        <w:tblW w:w="0" w:type="auto"/>
        <w:tblLook w:val="04A0"/>
      </w:tblPr>
      <w:tblGrid>
        <w:gridCol w:w="11216"/>
      </w:tblGrid>
      <w:tr w:rsidR="003E5D0C" w:rsidTr="003E5D0C">
        <w:tc>
          <w:tcPr>
            <w:tcW w:w="11216" w:type="dxa"/>
          </w:tcPr>
          <w:p w:rsidR="003E5D0C" w:rsidRPr="003E5D0C" w:rsidRDefault="003E5D0C" w:rsidP="003E5D0C">
            <w:pPr>
              <w:spacing w:line="276" w:lineRule="auto"/>
              <w:jc w:val="center"/>
              <w:rPr>
                <w:rFonts w:ascii="Garamond" w:hAnsi="Garamond" w:cs="Times New Roman"/>
                <w:b/>
                <w:i/>
                <w:sz w:val="24"/>
                <w:u w:val="single"/>
              </w:rPr>
            </w:pPr>
            <w:r w:rsidRPr="003E5D0C">
              <w:rPr>
                <w:rFonts w:ascii="Garamond" w:hAnsi="Garamond" w:cs="Times New Roman"/>
                <w:b/>
                <w:i/>
                <w:sz w:val="24"/>
                <w:u w:val="single"/>
              </w:rPr>
              <w:t>FLASH</w:t>
            </w:r>
          </w:p>
        </w:tc>
      </w:tr>
      <w:tr w:rsidR="003E5D0C" w:rsidTr="003E5D0C">
        <w:tc>
          <w:tcPr>
            <w:tcW w:w="11216" w:type="dxa"/>
          </w:tcPr>
          <w:p w:rsidR="003E5D0C" w:rsidRPr="003E5D0C" w:rsidRDefault="003E5D0C" w:rsidP="003E5D0C">
            <w:pPr>
              <w:spacing w:line="276" w:lineRule="auto"/>
              <w:jc w:val="both"/>
              <w:rPr>
                <w:rFonts w:ascii="Times New Roman" w:hAnsi="Times New Roman" w:cs="Times New Roman"/>
                <w:b/>
                <w:smallCaps/>
                <w:sz w:val="24"/>
              </w:rPr>
            </w:pPr>
            <w:r w:rsidRPr="003E5D0C">
              <w:rPr>
                <w:rFonts w:ascii="Times New Roman" w:hAnsi="Times New Roman" w:cs="Times New Roman"/>
                <w:b/>
                <w:smallCaps/>
                <w:sz w:val="24"/>
              </w:rPr>
              <w:t>La carta vincente della docilità</w:t>
            </w:r>
          </w:p>
          <w:p w:rsidR="003E5D0C" w:rsidRPr="00846CD1" w:rsidRDefault="003E5D0C" w:rsidP="003E5D0C">
            <w:pPr>
              <w:spacing w:line="276" w:lineRule="auto"/>
              <w:jc w:val="both"/>
              <w:rPr>
                <w:rFonts w:ascii="Times New Roman" w:hAnsi="Times New Roman" w:cs="Times New Roman"/>
                <w:i/>
                <w:sz w:val="24"/>
              </w:rPr>
            </w:pPr>
            <w:r>
              <w:rPr>
                <w:rFonts w:ascii="Times New Roman" w:hAnsi="Times New Roman" w:cs="Times New Roman"/>
                <w:sz w:val="24"/>
              </w:rPr>
              <w:t>Al Dio della Genesi, con le dovute attenzioni, potremmo attribuire quello che Boris Paster</w:t>
            </w:r>
            <w:r w:rsidRPr="003E5D0C">
              <w:rPr>
                <w:rFonts w:ascii="Times New Roman" w:hAnsi="Times New Roman" w:cs="Times New Roman"/>
                <w:sz w:val="24"/>
              </w:rPr>
              <w:t xml:space="preserve">nak afferma ne </w:t>
            </w:r>
            <w:r w:rsidRPr="00846CD1">
              <w:rPr>
                <w:rFonts w:ascii="Times New Roman" w:hAnsi="Times New Roman" w:cs="Times New Roman"/>
                <w:i/>
                <w:sz w:val="24"/>
              </w:rPr>
              <w:t xml:space="preserve">Il dottor </w:t>
            </w:r>
          </w:p>
          <w:p w:rsidR="003E5D0C" w:rsidRDefault="003E5D0C" w:rsidP="003E5D0C">
            <w:pPr>
              <w:spacing w:line="276" w:lineRule="auto"/>
              <w:jc w:val="both"/>
              <w:rPr>
                <w:rFonts w:ascii="Times New Roman" w:hAnsi="Times New Roman" w:cs="Times New Roman"/>
                <w:sz w:val="24"/>
              </w:rPr>
            </w:pPr>
            <w:r w:rsidRPr="00846CD1">
              <w:rPr>
                <w:rFonts w:ascii="Times New Roman" w:hAnsi="Times New Roman" w:cs="Times New Roman"/>
                <w:i/>
                <w:sz w:val="24"/>
              </w:rPr>
              <w:t>Zivago</w:t>
            </w:r>
            <w:r w:rsidR="00846CD1">
              <w:rPr>
                <w:rFonts w:ascii="Times New Roman" w:hAnsi="Times New Roman" w:cs="Times New Roman"/>
                <w:sz w:val="24"/>
              </w:rPr>
              <w:t>: «Io non amo la gente perfetta, quelli che non sono mai caduti, non hanno inciam</w:t>
            </w:r>
            <w:r w:rsidRPr="003E5D0C">
              <w:rPr>
                <w:rFonts w:ascii="Times New Roman" w:hAnsi="Times New Roman" w:cs="Times New Roman"/>
                <w:sz w:val="24"/>
              </w:rPr>
              <w:t>pato. La loro</w:t>
            </w:r>
            <w:r w:rsidR="00846CD1">
              <w:rPr>
                <w:rFonts w:ascii="Times New Roman" w:hAnsi="Times New Roman" w:cs="Times New Roman"/>
                <w:sz w:val="24"/>
              </w:rPr>
              <w:t xml:space="preserve"> è una virtù spenta, di poco valore. A loro non si è svelata la bellezza della vita». Proprio tra le fatiche e le cadute, Abramo rivela un significativo punto di forza: ogni volta che Dio gli "scombina" i piani, egli accetta di farsi condurre «oltre»: se, quindi, la fede umana di Abramo insegna che la strada della perfezione è segnata da molte tappe imperfette, essa trova nella docilità del patriarca la sua </w:t>
            </w:r>
            <w:r w:rsidRPr="003E5D0C">
              <w:rPr>
                <w:rFonts w:ascii="Times New Roman" w:hAnsi="Times New Roman" w:cs="Times New Roman"/>
                <w:sz w:val="24"/>
              </w:rPr>
              <w:t>grande carta vincente.</w:t>
            </w:r>
          </w:p>
        </w:tc>
      </w:tr>
    </w:tbl>
    <w:p w:rsidR="003E5D0C" w:rsidRPr="00135BD6" w:rsidRDefault="003E5D0C" w:rsidP="00CC7C46">
      <w:pPr>
        <w:spacing w:after="0" w:line="276" w:lineRule="auto"/>
        <w:jc w:val="both"/>
        <w:rPr>
          <w:rFonts w:ascii="Times New Roman" w:hAnsi="Times New Roman" w:cs="Times New Roman"/>
          <w:sz w:val="18"/>
        </w:rPr>
      </w:pPr>
    </w:p>
    <w:tbl>
      <w:tblPr>
        <w:tblStyle w:val="Grigliatabella"/>
        <w:tblW w:w="0" w:type="auto"/>
        <w:tblLook w:val="04A0"/>
      </w:tblPr>
      <w:tblGrid>
        <w:gridCol w:w="11216"/>
      </w:tblGrid>
      <w:tr w:rsidR="00846CD1" w:rsidTr="00846CD1">
        <w:tc>
          <w:tcPr>
            <w:tcW w:w="11216" w:type="dxa"/>
          </w:tcPr>
          <w:p w:rsidR="00846CD1" w:rsidRPr="00846CD1" w:rsidRDefault="00846CD1" w:rsidP="00846CD1">
            <w:pPr>
              <w:spacing w:line="276" w:lineRule="auto"/>
              <w:jc w:val="center"/>
              <w:rPr>
                <w:rFonts w:ascii="Garamond" w:hAnsi="Garamond" w:cs="Times New Roman"/>
                <w:b/>
                <w:i/>
                <w:sz w:val="24"/>
                <w:u w:val="single"/>
              </w:rPr>
            </w:pPr>
            <w:r w:rsidRPr="00846CD1">
              <w:rPr>
                <w:rFonts w:ascii="Garamond" w:hAnsi="Garamond" w:cs="Times New Roman"/>
                <w:b/>
                <w:i/>
                <w:sz w:val="24"/>
                <w:u w:val="single"/>
              </w:rPr>
              <w:t>FLASH</w:t>
            </w:r>
          </w:p>
        </w:tc>
      </w:tr>
      <w:tr w:rsidR="00846CD1" w:rsidTr="00846CD1">
        <w:tc>
          <w:tcPr>
            <w:tcW w:w="11216" w:type="dxa"/>
          </w:tcPr>
          <w:p w:rsidR="00846CD1" w:rsidRPr="00846CD1" w:rsidRDefault="00846CD1" w:rsidP="00846CD1">
            <w:pPr>
              <w:spacing w:line="276" w:lineRule="auto"/>
              <w:jc w:val="both"/>
              <w:rPr>
                <w:rFonts w:ascii="Times New Roman" w:hAnsi="Times New Roman" w:cs="Times New Roman"/>
                <w:b/>
                <w:smallCaps/>
                <w:sz w:val="24"/>
              </w:rPr>
            </w:pPr>
            <w:r w:rsidRPr="00846CD1">
              <w:rPr>
                <w:rFonts w:ascii="Times New Roman" w:hAnsi="Times New Roman" w:cs="Times New Roman"/>
                <w:b/>
                <w:smallCaps/>
                <w:sz w:val="24"/>
              </w:rPr>
              <w:t>La fede umana di Abramo</w:t>
            </w:r>
          </w:p>
          <w:p w:rsidR="00846CD1" w:rsidRDefault="00846CD1" w:rsidP="00846CD1">
            <w:pPr>
              <w:spacing w:line="276" w:lineRule="auto"/>
              <w:jc w:val="both"/>
              <w:rPr>
                <w:rFonts w:ascii="Times New Roman" w:hAnsi="Times New Roman" w:cs="Times New Roman"/>
                <w:sz w:val="24"/>
              </w:rPr>
            </w:pPr>
            <w:r w:rsidRPr="00846CD1">
              <w:rPr>
                <w:rFonts w:ascii="Times New Roman" w:hAnsi="Times New Roman" w:cs="Times New Roman"/>
                <w:sz w:val="24"/>
              </w:rPr>
              <w:t>Si</w:t>
            </w:r>
            <w:r>
              <w:rPr>
                <w:rFonts w:ascii="Times New Roman" w:hAnsi="Times New Roman" w:cs="Times New Roman"/>
                <w:sz w:val="24"/>
              </w:rPr>
              <w:t xml:space="preserve">amo talmente abituati a lodare la fede perfetta di Abramo che rischiamo di dimenticare la sua umanità, fatta anche di tentennamenti, compromessi e tentativi di aggiustamento. Il racconto biblico, al contrario, non ha paura di riportare come, in diverse occasioni, Abramo cerchi di realizzare «a modo suo» le promesse di Dio: per esempio, riguardo alla terra, Abramo è tentato prima di stabilirsi direttamente in Canaan (12,7-9) poi di fermarsi in Egitto (12,10-20); riguardo alla discendenza cerca diverse soluzioni: in un primo momento porta con sé il figlio di suo fratello, Lot (12,4-5), poi tenta con l'adozione del servo Eliezer (15,2-3), infine accetta la proposta di unirsi alla schiava </w:t>
            </w:r>
            <w:r w:rsidRPr="00846CD1">
              <w:rPr>
                <w:rFonts w:ascii="Times New Roman" w:hAnsi="Times New Roman" w:cs="Times New Roman"/>
                <w:sz w:val="24"/>
              </w:rPr>
              <w:t>Agar (16,1-4).</w:t>
            </w:r>
          </w:p>
        </w:tc>
      </w:tr>
    </w:tbl>
    <w:p w:rsidR="00846CD1" w:rsidRDefault="00846CD1" w:rsidP="00CC7C46">
      <w:pPr>
        <w:spacing w:after="0" w:line="276" w:lineRule="auto"/>
        <w:jc w:val="both"/>
        <w:rPr>
          <w:rFonts w:ascii="Times New Roman" w:hAnsi="Times New Roman" w:cs="Times New Roman"/>
          <w:sz w:val="24"/>
        </w:rPr>
      </w:pPr>
    </w:p>
    <w:tbl>
      <w:tblPr>
        <w:tblStyle w:val="Grigliatabella"/>
        <w:tblW w:w="0" w:type="auto"/>
        <w:tblLook w:val="04A0"/>
      </w:tblPr>
      <w:tblGrid>
        <w:gridCol w:w="11216"/>
      </w:tblGrid>
      <w:tr w:rsidR="0089549F" w:rsidTr="0089549F">
        <w:tc>
          <w:tcPr>
            <w:tcW w:w="11216" w:type="dxa"/>
          </w:tcPr>
          <w:p w:rsidR="0089549F" w:rsidRPr="0089549F" w:rsidRDefault="0089549F" w:rsidP="0089549F">
            <w:pPr>
              <w:spacing w:line="276" w:lineRule="auto"/>
              <w:jc w:val="center"/>
              <w:rPr>
                <w:rFonts w:ascii="Garamond" w:hAnsi="Garamond" w:cs="Times New Roman"/>
                <w:b/>
                <w:i/>
                <w:sz w:val="24"/>
                <w:u w:val="single"/>
              </w:rPr>
            </w:pPr>
            <w:r w:rsidRPr="0089549F">
              <w:rPr>
                <w:rFonts w:ascii="Garamond" w:hAnsi="Garamond" w:cs="Times New Roman"/>
                <w:b/>
                <w:i/>
                <w:sz w:val="24"/>
                <w:u w:val="single"/>
              </w:rPr>
              <w:t>L’APPUNTO</w:t>
            </w:r>
          </w:p>
        </w:tc>
      </w:tr>
      <w:tr w:rsidR="0089549F" w:rsidTr="0089549F">
        <w:tc>
          <w:tcPr>
            <w:tcW w:w="11216" w:type="dxa"/>
          </w:tcPr>
          <w:p w:rsidR="0089549F" w:rsidRPr="0089549F" w:rsidRDefault="0089549F" w:rsidP="0089549F">
            <w:pPr>
              <w:spacing w:line="276" w:lineRule="auto"/>
              <w:jc w:val="both"/>
              <w:rPr>
                <w:rFonts w:ascii="Times New Roman" w:hAnsi="Times New Roman" w:cs="Times New Roman"/>
                <w:b/>
                <w:sz w:val="24"/>
              </w:rPr>
            </w:pPr>
            <w:r w:rsidRPr="0089549F">
              <w:rPr>
                <w:rFonts w:ascii="Times New Roman" w:hAnsi="Times New Roman" w:cs="Times New Roman"/>
                <w:b/>
                <w:sz w:val="24"/>
              </w:rPr>
              <w:t xml:space="preserve">Accogliere lo straniero </w:t>
            </w:r>
          </w:p>
          <w:p w:rsidR="0089549F" w:rsidRPr="0089549F" w:rsidRDefault="0089549F" w:rsidP="0089549F">
            <w:pPr>
              <w:spacing w:line="276" w:lineRule="auto"/>
              <w:jc w:val="both"/>
              <w:rPr>
                <w:rFonts w:ascii="Times New Roman" w:hAnsi="Times New Roman" w:cs="Times New Roman"/>
                <w:sz w:val="24"/>
              </w:rPr>
            </w:pPr>
            <w:r>
              <w:rPr>
                <w:rFonts w:ascii="Times New Roman" w:hAnsi="Times New Roman" w:cs="Times New Roman"/>
                <w:sz w:val="24"/>
              </w:rPr>
              <w:t>Nella lettura di Gen 18,1- 22,24 sono presentati due modelli molto diversi del modo di trattare gli stranieri: uno caratterizzato dall'apertura e dall'ospitalità; l'altro dalla paura e dall'oppressione. In molti modi questi due modelli (la società di Mamre e la società di Sodoma, patria rispettivamente di Abramo e di suo cugino Lot) sono tra noi anche oggi. Uno dei più validi test di valutazione di una società e il mo</w:t>
            </w:r>
            <w:r w:rsidRPr="0089549F">
              <w:rPr>
                <w:rFonts w:ascii="Times New Roman" w:hAnsi="Times New Roman" w:cs="Times New Roman"/>
                <w:sz w:val="24"/>
              </w:rPr>
              <w:t xml:space="preserve">do in cui tratta i forestieri, </w:t>
            </w:r>
            <w:r>
              <w:rPr>
                <w:rFonts w:ascii="Times New Roman" w:hAnsi="Times New Roman" w:cs="Times New Roman"/>
                <w:sz w:val="24"/>
              </w:rPr>
              <w:t xml:space="preserve">e questo passo fornisce due esempi molto contrastanti. Abramo, che si sta ancora riprendendo - ci dicono i rabbi - dalla sua circoncisione subita all'età di 99 anni, è seduto all'ingresso della sua tenda nella pianura di Mamre, nell'ora più </w:t>
            </w:r>
            <w:r w:rsidRPr="0089549F">
              <w:rPr>
                <w:rFonts w:ascii="Times New Roman" w:hAnsi="Times New Roman" w:cs="Times New Roman"/>
                <w:sz w:val="24"/>
              </w:rPr>
              <w:t>ca</w:t>
            </w:r>
            <w:r>
              <w:rPr>
                <w:rFonts w:ascii="Times New Roman" w:hAnsi="Times New Roman" w:cs="Times New Roman"/>
                <w:sz w:val="24"/>
              </w:rPr>
              <w:t>lda del giorno, quando vede tre stranieri che si avvicinano. Corre loro incon</w:t>
            </w:r>
            <w:r w:rsidRPr="0089549F">
              <w:rPr>
                <w:rFonts w:ascii="Times New Roman" w:hAnsi="Times New Roman" w:cs="Times New Roman"/>
                <w:sz w:val="24"/>
              </w:rPr>
              <w:t xml:space="preserve">tro, pregandoli di fermarsi. </w:t>
            </w:r>
          </w:p>
          <w:p w:rsidR="0089549F" w:rsidRPr="0089549F" w:rsidRDefault="0089549F" w:rsidP="0089549F">
            <w:pPr>
              <w:spacing w:line="276" w:lineRule="auto"/>
              <w:jc w:val="both"/>
              <w:rPr>
                <w:rFonts w:ascii="Times New Roman" w:hAnsi="Times New Roman" w:cs="Times New Roman"/>
                <w:sz w:val="24"/>
              </w:rPr>
            </w:pPr>
            <w:r>
              <w:rPr>
                <w:rFonts w:ascii="Times New Roman" w:hAnsi="Times New Roman" w:cs="Times New Roman"/>
                <w:sz w:val="24"/>
              </w:rPr>
              <w:t>Lui e sua moglie Sara preparano un sontuoso banchetto e servono di tutto punto i loro ospiti. Prima di andarsene, uno dei visitatori, che si rivela essere un angelo, dice ad Abramo che sua moglie Sara avrà tra breve un figlio maschio che adempirà la promessa di continuità per il popolo ebraico. Totalmente diverso il modo in cui trattano i visitato</w:t>
            </w:r>
            <w:r w:rsidRPr="0089549F">
              <w:rPr>
                <w:rFonts w:ascii="Times New Roman" w:hAnsi="Times New Roman" w:cs="Times New Roman"/>
                <w:sz w:val="24"/>
              </w:rPr>
              <w:t>ri a casa di Lot, a Sodo</w:t>
            </w:r>
            <w:r>
              <w:rPr>
                <w:rFonts w:ascii="Times New Roman" w:hAnsi="Times New Roman" w:cs="Times New Roman"/>
                <w:sz w:val="24"/>
              </w:rPr>
              <w:t>ma. La visita di Abramo si svolge nella calura del giorno; la visita a Lot si svolge nel cuore della notte. Mentre Abramo tiene la porta spalancata, Lot è costretto a sprangarla per proteggere i suoi vi</w:t>
            </w:r>
            <w:r w:rsidRPr="0089549F">
              <w:rPr>
                <w:rFonts w:ascii="Times New Roman" w:hAnsi="Times New Roman" w:cs="Times New Roman"/>
                <w:sz w:val="24"/>
              </w:rPr>
              <w:t>si</w:t>
            </w:r>
            <w:r>
              <w:rPr>
                <w:rFonts w:ascii="Times New Roman" w:hAnsi="Times New Roman" w:cs="Times New Roman"/>
                <w:sz w:val="24"/>
              </w:rPr>
              <w:t xml:space="preserve">tatori dagli altri abitanti di </w:t>
            </w:r>
            <w:r w:rsidRPr="0089549F">
              <w:rPr>
                <w:rFonts w:ascii="Times New Roman" w:hAnsi="Times New Roman" w:cs="Times New Roman"/>
                <w:sz w:val="24"/>
              </w:rPr>
              <w:t>Sodoma. M</w:t>
            </w:r>
            <w:r>
              <w:rPr>
                <w:rFonts w:ascii="Times New Roman" w:hAnsi="Times New Roman" w:cs="Times New Roman"/>
                <w:sz w:val="24"/>
              </w:rPr>
              <w:t xml:space="preserve">entre Abramo è ricompensato con un figlio per la sua ospitalità, Lot si offre di sacrificare le figlie vergini nel disperato tentativo di proteggere i suoi </w:t>
            </w:r>
            <w:r w:rsidRPr="0089549F">
              <w:rPr>
                <w:rFonts w:ascii="Times New Roman" w:hAnsi="Times New Roman" w:cs="Times New Roman"/>
                <w:sz w:val="24"/>
              </w:rPr>
              <w:t xml:space="preserve">ospiti dagli inospitali vicini. </w:t>
            </w:r>
          </w:p>
          <w:p w:rsidR="0089549F" w:rsidRPr="0089549F" w:rsidRDefault="0089549F" w:rsidP="0089549F">
            <w:pPr>
              <w:spacing w:line="276" w:lineRule="auto"/>
              <w:jc w:val="both"/>
              <w:rPr>
                <w:rFonts w:ascii="Times New Roman" w:hAnsi="Times New Roman" w:cs="Times New Roman"/>
                <w:sz w:val="24"/>
              </w:rPr>
            </w:pPr>
            <w:r>
              <w:rPr>
                <w:rFonts w:ascii="Times New Roman" w:hAnsi="Times New Roman" w:cs="Times New Roman"/>
                <w:sz w:val="24"/>
              </w:rPr>
              <w:t xml:space="preserve">E mentre la moglie di Abramo, Sara, ride e alla fine allatta il proprio figlio, la moglie di Lot è trasformata in una colonna di sale, mentre l'intera città di Sodoma </w:t>
            </w:r>
            <w:r w:rsidRPr="0089549F">
              <w:rPr>
                <w:rFonts w:ascii="Times New Roman" w:hAnsi="Times New Roman" w:cs="Times New Roman"/>
                <w:sz w:val="24"/>
              </w:rPr>
              <w:t xml:space="preserve">è distrutta da fuoco e zolfo. </w:t>
            </w:r>
          </w:p>
          <w:p w:rsidR="0089549F" w:rsidRPr="0089549F" w:rsidRDefault="0089549F" w:rsidP="0089549F">
            <w:pPr>
              <w:spacing w:line="276" w:lineRule="auto"/>
              <w:jc w:val="both"/>
              <w:rPr>
                <w:rFonts w:ascii="Times New Roman" w:hAnsi="Times New Roman" w:cs="Times New Roman"/>
                <w:sz w:val="24"/>
              </w:rPr>
            </w:pPr>
            <w:r>
              <w:rPr>
                <w:rFonts w:ascii="Times New Roman" w:hAnsi="Times New Roman" w:cs="Times New Roman"/>
                <w:sz w:val="24"/>
              </w:rPr>
              <w:t xml:space="preserve">Prese insieme, le due storie inducono a un'affermazione semplice ma radicale: le società che accolgono gli stranieri e li nutrono garantiscono la propria continuità e prosperità; mentre le società che rifiutano e opprimono gli stranieri gettano il seme </w:t>
            </w:r>
            <w:r w:rsidRPr="0089549F">
              <w:rPr>
                <w:rFonts w:ascii="Times New Roman" w:hAnsi="Times New Roman" w:cs="Times New Roman"/>
                <w:sz w:val="24"/>
              </w:rPr>
              <w:t xml:space="preserve">della propria distruzione. </w:t>
            </w:r>
          </w:p>
          <w:p w:rsidR="0089549F" w:rsidRDefault="0089549F" w:rsidP="00005BB8">
            <w:pPr>
              <w:spacing w:line="276" w:lineRule="auto"/>
              <w:jc w:val="right"/>
              <w:rPr>
                <w:rFonts w:ascii="Times New Roman" w:hAnsi="Times New Roman" w:cs="Times New Roman"/>
                <w:sz w:val="24"/>
              </w:rPr>
            </w:pPr>
            <w:r>
              <w:rPr>
                <w:rFonts w:ascii="Times New Roman" w:hAnsi="Times New Roman" w:cs="Times New Roman"/>
                <w:sz w:val="24"/>
              </w:rPr>
              <w:t>Da: D. Taub, Luci dalla Torà, S</w:t>
            </w:r>
            <w:r w:rsidRPr="0089549F">
              <w:rPr>
                <w:rFonts w:ascii="Times New Roman" w:hAnsi="Times New Roman" w:cs="Times New Roman"/>
                <w:sz w:val="24"/>
              </w:rPr>
              <w:t>an Paolo 200</w:t>
            </w:r>
            <w:r>
              <w:rPr>
                <w:rFonts w:ascii="Times New Roman" w:hAnsi="Times New Roman" w:cs="Times New Roman"/>
                <w:sz w:val="24"/>
              </w:rPr>
              <w:t>8</w:t>
            </w:r>
            <w:r w:rsidRPr="0089549F">
              <w:rPr>
                <w:rFonts w:ascii="Times New Roman" w:hAnsi="Times New Roman" w:cs="Times New Roman"/>
                <w:sz w:val="24"/>
              </w:rPr>
              <w:t>.</w:t>
            </w:r>
          </w:p>
        </w:tc>
      </w:tr>
    </w:tbl>
    <w:p w:rsidR="00CF6057" w:rsidRPr="00CC7C46" w:rsidRDefault="00CF6057" w:rsidP="00CC7C46">
      <w:pPr>
        <w:spacing w:after="0" w:line="276" w:lineRule="auto"/>
        <w:jc w:val="both"/>
        <w:rPr>
          <w:rFonts w:ascii="Times New Roman" w:hAnsi="Times New Roman" w:cs="Times New Roman"/>
          <w:sz w:val="24"/>
        </w:rPr>
      </w:pPr>
    </w:p>
    <w:sectPr w:rsidR="00CF6057" w:rsidRPr="00CC7C46" w:rsidSect="00353539">
      <w:footerReference w:type="default" r:id="rId8"/>
      <w:pgSz w:w="11906" w:h="16838"/>
      <w:pgMar w:top="284" w:right="340" w:bottom="284" w:left="340"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3C4" w:rsidRDefault="004313C4" w:rsidP="00353539">
      <w:pPr>
        <w:spacing w:after="0" w:line="240" w:lineRule="auto"/>
      </w:pPr>
      <w:r>
        <w:separator/>
      </w:r>
    </w:p>
  </w:endnote>
  <w:endnote w:type="continuationSeparator" w:id="0">
    <w:p w:rsidR="004313C4" w:rsidRDefault="004313C4" w:rsidP="003535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9035543"/>
      <w:docPartObj>
        <w:docPartGallery w:val="Page Numbers (Bottom of Page)"/>
        <w:docPartUnique/>
      </w:docPartObj>
    </w:sdtPr>
    <w:sdtContent>
      <w:p w:rsidR="00353539" w:rsidRDefault="007B4095">
        <w:pPr>
          <w:pStyle w:val="Pidipagina"/>
          <w:jc w:val="center"/>
        </w:pPr>
        <w:r w:rsidRPr="00353539">
          <w:rPr>
            <w:rFonts w:ascii="Times New Roman" w:hAnsi="Times New Roman" w:cs="Times New Roman"/>
            <w:sz w:val="20"/>
          </w:rPr>
          <w:fldChar w:fldCharType="begin"/>
        </w:r>
        <w:r w:rsidR="00353539" w:rsidRPr="00353539">
          <w:rPr>
            <w:rFonts w:ascii="Times New Roman" w:hAnsi="Times New Roman" w:cs="Times New Roman"/>
            <w:sz w:val="20"/>
          </w:rPr>
          <w:instrText>PAGE   \* MERGEFORMAT</w:instrText>
        </w:r>
        <w:r w:rsidRPr="00353539">
          <w:rPr>
            <w:rFonts w:ascii="Times New Roman" w:hAnsi="Times New Roman" w:cs="Times New Roman"/>
            <w:sz w:val="20"/>
          </w:rPr>
          <w:fldChar w:fldCharType="separate"/>
        </w:r>
        <w:r w:rsidR="00135BD6">
          <w:rPr>
            <w:rFonts w:ascii="Times New Roman" w:hAnsi="Times New Roman" w:cs="Times New Roman"/>
            <w:noProof/>
            <w:sz w:val="20"/>
          </w:rPr>
          <w:t>1</w:t>
        </w:r>
        <w:r w:rsidRPr="00353539">
          <w:rPr>
            <w:rFonts w:ascii="Times New Roman" w:hAnsi="Times New Roman" w:cs="Times New Roman"/>
            <w:sz w:val="20"/>
          </w:rPr>
          <w:fldChar w:fldCharType="end"/>
        </w:r>
      </w:p>
    </w:sdtContent>
  </w:sdt>
  <w:p w:rsidR="00353539" w:rsidRDefault="00353539">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3C4" w:rsidRDefault="004313C4" w:rsidP="00353539">
      <w:pPr>
        <w:spacing w:after="0" w:line="240" w:lineRule="auto"/>
      </w:pPr>
      <w:r>
        <w:separator/>
      </w:r>
    </w:p>
  </w:footnote>
  <w:footnote w:type="continuationSeparator" w:id="0">
    <w:p w:rsidR="004313C4" w:rsidRDefault="004313C4" w:rsidP="003535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8707D4"/>
    <w:multiLevelType w:val="hybridMultilevel"/>
    <w:tmpl w:val="7B7E1B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characterSpacingControl w:val="doNotCompress"/>
  <w:footnotePr>
    <w:footnote w:id="-1"/>
    <w:footnote w:id="0"/>
  </w:footnotePr>
  <w:endnotePr>
    <w:endnote w:id="-1"/>
    <w:endnote w:id="0"/>
  </w:endnotePr>
  <w:compat/>
  <w:rsids>
    <w:rsidRoot w:val="00091729"/>
    <w:rsid w:val="00005BB8"/>
    <w:rsid w:val="00091729"/>
    <w:rsid w:val="00132E01"/>
    <w:rsid w:val="00135BD6"/>
    <w:rsid w:val="00353539"/>
    <w:rsid w:val="00361176"/>
    <w:rsid w:val="003709F9"/>
    <w:rsid w:val="003E5D0C"/>
    <w:rsid w:val="004313C4"/>
    <w:rsid w:val="00532102"/>
    <w:rsid w:val="005C75B2"/>
    <w:rsid w:val="006464E2"/>
    <w:rsid w:val="007B4095"/>
    <w:rsid w:val="008428C5"/>
    <w:rsid w:val="00846CD1"/>
    <w:rsid w:val="0089549F"/>
    <w:rsid w:val="00BA21C0"/>
    <w:rsid w:val="00CC7C46"/>
    <w:rsid w:val="00CF6057"/>
    <w:rsid w:val="00D01CFB"/>
    <w:rsid w:val="00E70FB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B409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C7C46"/>
    <w:pPr>
      <w:ind w:left="720"/>
      <w:contextualSpacing/>
    </w:pPr>
  </w:style>
  <w:style w:type="paragraph" w:styleId="Intestazione">
    <w:name w:val="header"/>
    <w:basedOn w:val="Normale"/>
    <w:link w:val="IntestazioneCarattere"/>
    <w:uiPriority w:val="99"/>
    <w:unhideWhenUsed/>
    <w:rsid w:val="0035353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53539"/>
  </w:style>
  <w:style w:type="paragraph" w:styleId="Pidipagina">
    <w:name w:val="footer"/>
    <w:basedOn w:val="Normale"/>
    <w:link w:val="PidipaginaCarattere"/>
    <w:uiPriority w:val="99"/>
    <w:unhideWhenUsed/>
    <w:rsid w:val="0035353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53539"/>
  </w:style>
  <w:style w:type="table" w:styleId="Grigliatabella">
    <w:name w:val="Table Grid"/>
    <w:basedOn w:val="Tabellanormale"/>
    <w:uiPriority w:val="39"/>
    <w:rsid w:val="003E5D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3D0E8-1389-465D-9A61-55C7F2601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2328</Words>
  <Characters>13271</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15568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Pasquale dello Iacono</dc:creator>
  <cp:lastModifiedBy>utente</cp:lastModifiedBy>
  <cp:revision>3</cp:revision>
  <cp:lastPrinted>2015-11-26T15:30:00Z</cp:lastPrinted>
  <dcterms:created xsi:type="dcterms:W3CDTF">2015-11-26T15:28:00Z</dcterms:created>
  <dcterms:modified xsi:type="dcterms:W3CDTF">2015-11-26T15:30:00Z</dcterms:modified>
</cp:coreProperties>
</file>