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72A3" w:rsidRPr="00CC7C46" w:rsidRDefault="00C172A3" w:rsidP="00C172A3">
      <w:pPr>
        <w:spacing w:after="0" w:line="276" w:lineRule="auto"/>
        <w:jc w:val="center"/>
        <w:rPr>
          <w:rFonts w:ascii="Times New Roman" w:hAnsi="Times New Roman" w:cs="Times New Roman"/>
          <w:sz w:val="32"/>
        </w:rPr>
      </w:pPr>
      <w:r w:rsidRPr="00CC7C46">
        <w:rPr>
          <w:rFonts w:ascii="Times New Roman" w:hAnsi="Times New Roman" w:cs="Times New Roman"/>
          <w:sz w:val="32"/>
        </w:rPr>
        <w:t>Parrocchia Santa Maria a Piazza</w:t>
      </w:r>
    </w:p>
    <w:p w:rsidR="00C172A3" w:rsidRDefault="00C172A3" w:rsidP="00C172A3">
      <w:pPr>
        <w:spacing w:after="0" w:line="276" w:lineRule="auto"/>
        <w:jc w:val="center"/>
        <w:rPr>
          <w:rFonts w:ascii="Times New Roman" w:hAnsi="Times New Roman" w:cs="Times New Roman"/>
          <w:sz w:val="24"/>
        </w:rPr>
      </w:pPr>
      <w:r w:rsidRPr="00CC7C46">
        <w:rPr>
          <w:rFonts w:ascii="Times New Roman" w:hAnsi="Times New Roman" w:cs="Times New Roman"/>
          <w:sz w:val="32"/>
        </w:rPr>
        <w:t>Corso biblico VI</w:t>
      </w:r>
      <w:r>
        <w:rPr>
          <w:rFonts w:ascii="Times New Roman" w:hAnsi="Times New Roman" w:cs="Times New Roman"/>
          <w:sz w:val="32"/>
        </w:rPr>
        <w:t>II</w:t>
      </w:r>
    </w:p>
    <w:p w:rsidR="006C0C5C" w:rsidRPr="009631B4" w:rsidRDefault="006C0C5C" w:rsidP="009631B4">
      <w:pPr>
        <w:spacing w:after="0" w:line="276" w:lineRule="auto"/>
        <w:jc w:val="center"/>
        <w:rPr>
          <w:rFonts w:ascii="Times New Roman" w:hAnsi="Times New Roman" w:cs="Times New Roman"/>
          <w:b/>
          <w:i/>
          <w:smallCaps/>
          <w:sz w:val="24"/>
          <w:u w:val="single"/>
        </w:rPr>
      </w:pPr>
      <w:r w:rsidRPr="009631B4">
        <w:rPr>
          <w:rFonts w:ascii="Times New Roman" w:hAnsi="Times New Roman" w:cs="Times New Roman"/>
          <w:b/>
          <w:i/>
          <w:smallCaps/>
          <w:sz w:val="24"/>
          <w:u w:val="single"/>
        </w:rPr>
        <w:t xml:space="preserve">L'ESODO E LA CONQUISTA (Es; </w:t>
      </w:r>
      <w:proofErr w:type="spellStart"/>
      <w:r w:rsidRPr="009631B4">
        <w:rPr>
          <w:rFonts w:ascii="Times New Roman" w:hAnsi="Times New Roman" w:cs="Times New Roman"/>
          <w:b/>
          <w:i/>
          <w:smallCaps/>
          <w:sz w:val="24"/>
          <w:u w:val="single"/>
        </w:rPr>
        <w:t>Lv</w:t>
      </w:r>
      <w:proofErr w:type="spellEnd"/>
      <w:r w:rsidRPr="009631B4">
        <w:rPr>
          <w:rFonts w:ascii="Times New Roman" w:hAnsi="Times New Roman" w:cs="Times New Roman"/>
          <w:b/>
          <w:i/>
          <w:smallCaps/>
          <w:sz w:val="24"/>
          <w:u w:val="single"/>
        </w:rPr>
        <w:t>; Nm;</w:t>
      </w:r>
      <w:r w:rsidR="009631B4">
        <w:rPr>
          <w:rFonts w:ascii="Times New Roman" w:hAnsi="Times New Roman" w:cs="Times New Roman"/>
          <w:b/>
          <w:i/>
          <w:smallCaps/>
          <w:sz w:val="24"/>
          <w:u w:val="single"/>
        </w:rPr>
        <w:t xml:space="preserve"> </w:t>
      </w:r>
      <w:proofErr w:type="spellStart"/>
      <w:r w:rsidRPr="009631B4">
        <w:rPr>
          <w:rFonts w:ascii="Times New Roman" w:hAnsi="Times New Roman" w:cs="Times New Roman"/>
          <w:b/>
          <w:i/>
          <w:smallCaps/>
          <w:sz w:val="24"/>
          <w:u w:val="single"/>
        </w:rPr>
        <w:t>Dt</w:t>
      </w:r>
      <w:proofErr w:type="spellEnd"/>
      <w:r w:rsidRPr="009631B4">
        <w:rPr>
          <w:rFonts w:ascii="Times New Roman" w:hAnsi="Times New Roman" w:cs="Times New Roman"/>
          <w:b/>
          <w:i/>
          <w:smallCaps/>
          <w:sz w:val="24"/>
          <w:u w:val="single"/>
        </w:rPr>
        <w:t>;</w:t>
      </w:r>
      <w:r w:rsidR="009631B4">
        <w:rPr>
          <w:rFonts w:ascii="Times New Roman" w:hAnsi="Times New Roman" w:cs="Times New Roman"/>
          <w:b/>
          <w:i/>
          <w:smallCaps/>
          <w:sz w:val="24"/>
          <w:u w:val="single"/>
        </w:rPr>
        <w:t xml:space="preserve"> </w:t>
      </w:r>
      <w:proofErr w:type="spellStart"/>
      <w:r w:rsidRPr="009631B4">
        <w:rPr>
          <w:rFonts w:ascii="Times New Roman" w:hAnsi="Times New Roman" w:cs="Times New Roman"/>
          <w:b/>
          <w:i/>
          <w:smallCaps/>
          <w:sz w:val="24"/>
          <w:u w:val="single"/>
        </w:rPr>
        <w:t>Gs</w:t>
      </w:r>
      <w:proofErr w:type="spellEnd"/>
      <w:r w:rsidRPr="009631B4">
        <w:rPr>
          <w:rFonts w:ascii="Times New Roman" w:hAnsi="Times New Roman" w:cs="Times New Roman"/>
          <w:b/>
          <w:i/>
          <w:smallCaps/>
          <w:sz w:val="24"/>
          <w:u w:val="single"/>
        </w:rPr>
        <w:t xml:space="preserve"> 1-11)</w:t>
      </w:r>
    </w:p>
    <w:p w:rsidR="006C0C5C" w:rsidRPr="003A02F0" w:rsidRDefault="006C0C5C" w:rsidP="00C172A3">
      <w:pPr>
        <w:spacing w:after="0" w:line="276" w:lineRule="auto"/>
        <w:jc w:val="both"/>
        <w:rPr>
          <w:rFonts w:ascii="Times New Roman" w:hAnsi="Times New Roman" w:cs="Times New Roman"/>
          <w:sz w:val="24"/>
        </w:rPr>
      </w:pPr>
      <w:r w:rsidRPr="003A02F0">
        <w:rPr>
          <w:rFonts w:ascii="Times New Roman" w:hAnsi="Times New Roman" w:cs="Times New Roman"/>
          <w:sz w:val="24"/>
        </w:rPr>
        <w:t>• CONTESTO BIBLICO</w:t>
      </w:r>
    </w:p>
    <w:p w:rsidR="006C0C5C" w:rsidRPr="003A02F0" w:rsidRDefault="006C0C5C" w:rsidP="00C172A3">
      <w:pPr>
        <w:spacing w:after="0" w:line="276" w:lineRule="auto"/>
        <w:jc w:val="both"/>
        <w:rPr>
          <w:rFonts w:ascii="Times New Roman" w:hAnsi="Times New Roman" w:cs="Times New Roman"/>
          <w:b/>
          <w:sz w:val="24"/>
        </w:rPr>
      </w:pPr>
      <w:r w:rsidRPr="003A02F0">
        <w:rPr>
          <w:rFonts w:ascii="Times New Roman" w:hAnsi="Times New Roman" w:cs="Times New Roman"/>
          <w:b/>
          <w:sz w:val="24"/>
        </w:rPr>
        <w:t>Mosè, la guida del popolo</w:t>
      </w:r>
    </w:p>
    <w:p w:rsidR="006C0C5C" w:rsidRPr="003A02F0" w:rsidRDefault="006C0C5C" w:rsidP="00C172A3">
      <w:pPr>
        <w:spacing w:after="0" w:line="276" w:lineRule="auto"/>
        <w:jc w:val="both"/>
        <w:rPr>
          <w:rFonts w:ascii="Times New Roman" w:hAnsi="Times New Roman" w:cs="Times New Roman"/>
          <w:sz w:val="24"/>
        </w:rPr>
      </w:pPr>
      <w:r w:rsidRPr="003A02F0">
        <w:rPr>
          <w:rFonts w:ascii="Times New Roman" w:hAnsi="Times New Roman" w:cs="Times New Roman"/>
          <w:sz w:val="24"/>
        </w:rPr>
        <w:t xml:space="preserve">Gli inizi fondativi della storia di Israele </w:t>
      </w:r>
      <w:r w:rsidR="003A02F0" w:rsidRPr="003A02F0">
        <w:rPr>
          <w:rFonts w:ascii="Times New Roman" w:hAnsi="Times New Roman" w:cs="Times New Roman"/>
          <w:sz w:val="24"/>
        </w:rPr>
        <w:t>sono "dominati" interamente dall</w:t>
      </w:r>
      <w:r w:rsidRPr="003A02F0">
        <w:rPr>
          <w:rFonts w:ascii="Times New Roman" w:hAnsi="Times New Roman" w:cs="Times New Roman"/>
          <w:sz w:val="24"/>
        </w:rPr>
        <w:t xml:space="preserve">a figura di Mosè, sotto la cui autorità viene posta l'intera Torah. Nell'ambito della fenomenologia religiosa è facilmente riscontrabile come l'uomo abbia sempre riconosciuto la necessità del tramite di altri uomini che rendessero possibile un contatto con il divino; si tratta di quei personaggi che </w:t>
      </w:r>
      <w:proofErr w:type="spellStart"/>
      <w:r w:rsidRPr="003A02F0">
        <w:rPr>
          <w:rFonts w:ascii="Times New Roman" w:hAnsi="Times New Roman" w:cs="Times New Roman"/>
          <w:sz w:val="24"/>
        </w:rPr>
        <w:t>Mircea</w:t>
      </w:r>
      <w:proofErr w:type="spellEnd"/>
      <w:r w:rsidRPr="003A02F0">
        <w:rPr>
          <w:rFonts w:ascii="Times New Roman" w:hAnsi="Times New Roman" w:cs="Times New Roman"/>
          <w:sz w:val="24"/>
        </w:rPr>
        <w:t xml:space="preserve"> </w:t>
      </w:r>
      <w:proofErr w:type="spellStart"/>
      <w:r w:rsidRPr="003A02F0">
        <w:rPr>
          <w:rFonts w:ascii="Times New Roman" w:hAnsi="Times New Roman" w:cs="Times New Roman"/>
          <w:sz w:val="24"/>
        </w:rPr>
        <w:t>Eliade</w:t>
      </w:r>
      <w:proofErr w:type="spellEnd"/>
      <w:r w:rsidRPr="003A02F0">
        <w:rPr>
          <w:rFonts w:ascii="Times New Roman" w:hAnsi="Times New Roman" w:cs="Times New Roman"/>
          <w:sz w:val="24"/>
        </w:rPr>
        <w:t xml:space="preserve"> chiama, in termini generali, gli «specialisti del sacro», e che, in altri termini, più pertinenti alla storia di Israele, potremmo definire «mediatori» e «guide»</w:t>
      </w:r>
      <w:r w:rsidR="003A02F0" w:rsidRPr="003A02F0">
        <w:rPr>
          <w:rFonts w:ascii="Times New Roman" w:hAnsi="Times New Roman" w:cs="Times New Roman"/>
          <w:sz w:val="24"/>
        </w:rPr>
        <w:t xml:space="preserve"> del popolo. La figura paradigm</w:t>
      </w:r>
      <w:r w:rsidRPr="003A02F0">
        <w:rPr>
          <w:rFonts w:ascii="Times New Roman" w:hAnsi="Times New Roman" w:cs="Times New Roman"/>
          <w:sz w:val="24"/>
        </w:rPr>
        <w:t>atica, da questo punto di vista, è appunto quella di Mosè: egli è colui che rende presente Dio in mezzo al popolo e rende presente il popolo davanti a Dio. Mosè è la guida spirituale, colui che, investito dello spirito di profezia, è capace di decifrare i segni di Dio. Come figura sacerdotale intercede per i fratelli diventando, in modo particolare, mediatore di perdono: egli scampa il popolo dal fuoco dell'ira divina (Nm 11,1-2), dai serpenti velenosi (Nm 21,4-9), prega in favore del fratello Aronne (</w:t>
      </w:r>
      <w:proofErr w:type="spellStart"/>
      <w:r w:rsidRPr="003A02F0">
        <w:rPr>
          <w:rFonts w:ascii="Times New Roman" w:hAnsi="Times New Roman" w:cs="Times New Roman"/>
          <w:sz w:val="24"/>
        </w:rPr>
        <w:t>Dt</w:t>
      </w:r>
      <w:proofErr w:type="spellEnd"/>
      <w:r w:rsidRPr="003A02F0">
        <w:rPr>
          <w:rFonts w:ascii="Times New Roman" w:hAnsi="Times New Roman" w:cs="Times New Roman"/>
          <w:sz w:val="24"/>
        </w:rPr>
        <w:t xml:space="preserve"> 9,20) e della sorella Maria colpita da lebbra (Nm 12,11-16).</w:t>
      </w:r>
    </w:p>
    <w:p w:rsidR="006C0C5C" w:rsidRPr="003A02F0" w:rsidRDefault="006C0C5C" w:rsidP="00C172A3">
      <w:pPr>
        <w:spacing w:after="0" w:line="276" w:lineRule="auto"/>
        <w:jc w:val="both"/>
        <w:rPr>
          <w:rFonts w:ascii="Times New Roman" w:hAnsi="Times New Roman" w:cs="Times New Roman"/>
          <w:b/>
          <w:sz w:val="24"/>
        </w:rPr>
      </w:pPr>
      <w:r w:rsidRPr="003A02F0">
        <w:rPr>
          <w:rFonts w:ascii="Times New Roman" w:hAnsi="Times New Roman" w:cs="Times New Roman"/>
          <w:b/>
          <w:sz w:val="24"/>
        </w:rPr>
        <w:t>L'esodo e il decalogo: alle origini dell'identità</w:t>
      </w:r>
    </w:p>
    <w:p w:rsidR="000C5F9A" w:rsidRPr="003A02F0" w:rsidRDefault="006C0C5C" w:rsidP="00C172A3">
      <w:pPr>
        <w:spacing w:after="0" w:line="276" w:lineRule="auto"/>
        <w:jc w:val="both"/>
        <w:rPr>
          <w:rFonts w:ascii="Times New Roman" w:hAnsi="Times New Roman" w:cs="Times New Roman"/>
          <w:sz w:val="24"/>
        </w:rPr>
      </w:pPr>
      <w:r w:rsidRPr="003A02F0">
        <w:rPr>
          <w:rFonts w:ascii="Times New Roman" w:hAnsi="Times New Roman" w:cs="Times New Roman"/>
          <w:sz w:val="24"/>
        </w:rPr>
        <w:t>La liturgia cristiana stabilisce una relazione diretta tra l'avvenimento centrale della fede - la risurrezione di Cristo - e la liberazione dalla schiavitù egiziana: «Questa è la notte in cui hai liberato i figli di Israele, nostri padri, dalla schiavitù dell'Egitto, e li hai fatti passare illesi attraverso il Mar Rosso» (Preconio della Veglia pasquale). Da questo punto di vista, la liturgia pasquale cristiana ri</w:t>
      </w:r>
      <w:r w:rsidR="003A02F0" w:rsidRPr="003A02F0">
        <w:rPr>
          <w:rFonts w:ascii="Times New Roman" w:hAnsi="Times New Roman" w:cs="Times New Roman"/>
          <w:sz w:val="24"/>
        </w:rPr>
        <w:t>prende la tradizione ebraica: «</w:t>
      </w:r>
      <w:r w:rsidRPr="003A02F0">
        <w:rPr>
          <w:rFonts w:ascii="Times New Roman" w:hAnsi="Times New Roman" w:cs="Times New Roman"/>
          <w:sz w:val="24"/>
        </w:rPr>
        <w:t>Eravamo schiavi di Faraone in Egitto; ma di là ci fece uscire il Signore, nostro Dio, con mano forte e braccio disteso. Se il Santo - benedetto Egli sia - non avesse fatto uscire i nostri padri dall'Egitto, noi, i nostri figli e i figli dei nostri figli, saremmo ancora</w:t>
      </w:r>
      <w:r w:rsidR="003A02F0" w:rsidRPr="003A02F0">
        <w:rPr>
          <w:rFonts w:ascii="Times New Roman" w:hAnsi="Times New Roman" w:cs="Times New Roman"/>
          <w:sz w:val="24"/>
        </w:rPr>
        <w:t xml:space="preserve"> schiavi di Faraone in Egitto [</w:t>
      </w:r>
      <w:r w:rsidRPr="003A02F0">
        <w:rPr>
          <w:rFonts w:ascii="Times New Roman" w:hAnsi="Times New Roman" w:cs="Times New Roman"/>
          <w:sz w:val="24"/>
        </w:rPr>
        <w:t>...</w:t>
      </w:r>
      <w:r w:rsidR="003A02F0" w:rsidRPr="003A02F0">
        <w:rPr>
          <w:rFonts w:ascii="Times New Roman" w:hAnsi="Times New Roman" w:cs="Times New Roman"/>
          <w:sz w:val="24"/>
        </w:rPr>
        <w:t>]</w:t>
      </w:r>
      <w:r w:rsidRPr="003A02F0">
        <w:rPr>
          <w:rFonts w:ascii="Times New Roman" w:hAnsi="Times New Roman" w:cs="Times New Roman"/>
          <w:sz w:val="24"/>
        </w:rPr>
        <w:t>. Quanto più ci si sofferma a trattare dell'uscita dall'Egitto, tanto più si è degni di lode» (</w:t>
      </w:r>
      <w:proofErr w:type="spellStart"/>
      <w:r w:rsidRPr="003A02F0">
        <w:rPr>
          <w:rFonts w:ascii="Times New Roman" w:hAnsi="Times New Roman" w:cs="Times New Roman"/>
          <w:i/>
          <w:sz w:val="24"/>
        </w:rPr>
        <w:t>Haggadah</w:t>
      </w:r>
      <w:proofErr w:type="spellEnd"/>
      <w:r w:rsidRPr="003A02F0">
        <w:rPr>
          <w:rFonts w:ascii="Times New Roman" w:hAnsi="Times New Roman" w:cs="Times New Roman"/>
          <w:sz w:val="24"/>
        </w:rPr>
        <w:t xml:space="preserve"> di </w:t>
      </w:r>
      <w:proofErr w:type="spellStart"/>
      <w:r w:rsidRPr="003A02F0">
        <w:rPr>
          <w:rFonts w:ascii="Times New Roman" w:hAnsi="Times New Roman" w:cs="Times New Roman"/>
          <w:i/>
          <w:sz w:val="24"/>
        </w:rPr>
        <w:t>Pesach</w:t>
      </w:r>
      <w:proofErr w:type="spellEnd"/>
      <w:r w:rsidRPr="003A02F0">
        <w:rPr>
          <w:rFonts w:ascii="Times New Roman" w:hAnsi="Times New Roman" w:cs="Times New Roman"/>
          <w:sz w:val="24"/>
        </w:rPr>
        <w:t xml:space="preserve">). Non solo la Pasqua, ma anche le feste ebraiche di </w:t>
      </w:r>
      <w:proofErr w:type="spellStart"/>
      <w:r w:rsidRPr="003A02F0">
        <w:rPr>
          <w:rFonts w:ascii="Times New Roman" w:hAnsi="Times New Roman" w:cs="Times New Roman"/>
          <w:i/>
          <w:sz w:val="24"/>
        </w:rPr>
        <w:t>Shavuot</w:t>
      </w:r>
      <w:proofErr w:type="spellEnd"/>
      <w:r w:rsidRPr="003A02F0">
        <w:rPr>
          <w:rFonts w:ascii="Times New Roman" w:hAnsi="Times New Roman" w:cs="Times New Roman"/>
          <w:sz w:val="24"/>
        </w:rPr>
        <w:t xml:space="preserve"> e di </w:t>
      </w:r>
      <w:proofErr w:type="spellStart"/>
      <w:r w:rsidRPr="003A02F0">
        <w:rPr>
          <w:rFonts w:ascii="Times New Roman" w:hAnsi="Times New Roman" w:cs="Times New Roman"/>
          <w:i/>
          <w:sz w:val="24"/>
        </w:rPr>
        <w:t>Sukkot</w:t>
      </w:r>
      <w:proofErr w:type="spellEnd"/>
      <w:r w:rsidRPr="003A02F0">
        <w:rPr>
          <w:rFonts w:ascii="Times New Roman" w:hAnsi="Times New Roman" w:cs="Times New Roman"/>
          <w:sz w:val="24"/>
        </w:rPr>
        <w:t xml:space="preserve"> hanno una relazione diretta con l'uscita dall'Egitto. Da questa constatazione è possibile intuire l'assoluta centralità dell'esodo nella tradizione biblica. L'identità religiosa del popolo di Israele, e addirittura l'identità stessa di Dio, trovano il loro tratto più caratteristico nell'avvenimento della liberazione dalla schiavitù egiziana: «lo sono il Signore, tuo Dio, che ti ho fatto uscire dalla terra d'Egitto, dalla condizione servile» (Es 20,2; cfr. anche 6,7; 29,45; </w:t>
      </w:r>
      <w:proofErr w:type="spellStart"/>
      <w:r w:rsidRPr="003A02F0">
        <w:rPr>
          <w:rFonts w:ascii="Times New Roman" w:hAnsi="Times New Roman" w:cs="Times New Roman"/>
          <w:sz w:val="24"/>
        </w:rPr>
        <w:t>Lv</w:t>
      </w:r>
      <w:proofErr w:type="spellEnd"/>
      <w:r w:rsidRPr="003A02F0">
        <w:rPr>
          <w:rFonts w:ascii="Times New Roman" w:hAnsi="Times New Roman" w:cs="Times New Roman"/>
          <w:sz w:val="24"/>
        </w:rPr>
        <w:t xml:space="preserve"> 11,45; 22,32; 26,11-13; Nm 15,41; </w:t>
      </w:r>
      <w:proofErr w:type="spellStart"/>
      <w:r w:rsidRPr="003A02F0">
        <w:rPr>
          <w:rFonts w:ascii="Times New Roman" w:hAnsi="Times New Roman" w:cs="Times New Roman"/>
          <w:sz w:val="24"/>
        </w:rPr>
        <w:t>Dt</w:t>
      </w:r>
      <w:proofErr w:type="spellEnd"/>
      <w:r w:rsidRPr="003A02F0">
        <w:rPr>
          <w:rFonts w:ascii="Times New Roman" w:hAnsi="Times New Roman" w:cs="Times New Roman"/>
          <w:sz w:val="24"/>
        </w:rPr>
        <w:t xml:space="preserve"> 4,32,40; 5,6; 6,20-24 ecc.). In questo orizzonte di senso, si capisce perché il ritorno dall'esilio di Babilonia verrà descritto (anche) come un nuovo esodo. Nel cammino </w:t>
      </w:r>
      <w:proofErr w:type="spellStart"/>
      <w:r w:rsidRPr="003A02F0">
        <w:rPr>
          <w:rFonts w:ascii="Times New Roman" w:hAnsi="Times New Roman" w:cs="Times New Roman"/>
          <w:sz w:val="24"/>
        </w:rPr>
        <w:t>esodico</w:t>
      </w:r>
      <w:proofErr w:type="spellEnd"/>
      <w:r w:rsidRPr="003A02F0">
        <w:rPr>
          <w:rFonts w:ascii="Times New Roman" w:hAnsi="Times New Roman" w:cs="Times New Roman"/>
          <w:sz w:val="24"/>
        </w:rPr>
        <w:t xml:space="preserve">, un momento decisivo è costituito dalla tappa al Sinai, dove il Signore consegna al popolo le «tavole dell'alleanza», che recano incise le «dieci parole» (Es 20,1-21; </w:t>
      </w:r>
      <w:proofErr w:type="spellStart"/>
      <w:r w:rsidRPr="003A02F0">
        <w:rPr>
          <w:rFonts w:ascii="Times New Roman" w:hAnsi="Times New Roman" w:cs="Times New Roman"/>
          <w:sz w:val="24"/>
        </w:rPr>
        <w:t>Dt</w:t>
      </w:r>
      <w:proofErr w:type="spellEnd"/>
      <w:r w:rsidRPr="003A02F0">
        <w:rPr>
          <w:rFonts w:ascii="Times New Roman" w:hAnsi="Times New Roman" w:cs="Times New Roman"/>
          <w:sz w:val="24"/>
        </w:rPr>
        <w:t xml:space="preserve"> 5,1-22). Riposte e custodite nell'arca dell'alleanza, le tavole saranno per il popolo segno della presenza di Dio e della sua Parola. Il decalogo costituisce il testo centrale di tutta la tradizione religiosa di Israele, nel suo rapporto con l'alleanza, nelle sue molteplici modulazioni e momenti. Il primo momento dell'alleanza, la creazione (</w:t>
      </w:r>
      <w:proofErr w:type="spellStart"/>
      <w:r w:rsidRPr="003A02F0">
        <w:rPr>
          <w:rFonts w:ascii="Times New Roman" w:hAnsi="Times New Roman" w:cs="Times New Roman"/>
          <w:sz w:val="24"/>
        </w:rPr>
        <w:t>Gen</w:t>
      </w:r>
      <w:proofErr w:type="spellEnd"/>
      <w:r w:rsidRPr="003A02F0">
        <w:rPr>
          <w:rFonts w:ascii="Times New Roman" w:hAnsi="Times New Roman" w:cs="Times New Roman"/>
          <w:sz w:val="24"/>
        </w:rPr>
        <w:t xml:space="preserve"> 1-2), aveva unito l'intero universo al suo Creatore. Rinnovata in Noè (</w:t>
      </w:r>
      <w:proofErr w:type="spellStart"/>
      <w:r w:rsidRPr="003A02F0">
        <w:rPr>
          <w:rFonts w:ascii="Times New Roman" w:hAnsi="Times New Roman" w:cs="Times New Roman"/>
          <w:sz w:val="24"/>
        </w:rPr>
        <w:t>Gen</w:t>
      </w:r>
      <w:proofErr w:type="spellEnd"/>
      <w:r w:rsidRPr="003A02F0">
        <w:rPr>
          <w:rFonts w:ascii="Times New Roman" w:hAnsi="Times New Roman" w:cs="Times New Roman"/>
          <w:sz w:val="24"/>
        </w:rPr>
        <w:t xml:space="preserve"> 9,1-17), essa raggiunse un terzo stadio in Abramo sotto il segno della circoncisione e della duplice promessa: la terra e la discendenza (</w:t>
      </w:r>
      <w:proofErr w:type="spellStart"/>
      <w:r w:rsidRPr="003A02F0">
        <w:rPr>
          <w:rFonts w:ascii="Times New Roman" w:hAnsi="Times New Roman" w:cs="Times New Roman"/>
          <w:sz w:val="24"/>
        </w:rPr>
        <w:t>Gen</w:t>
      </w:r>
      <w:proofErr w:type="spellEnd"/>
      <w:r w:rsidRPr="003A02F0">
        <w:rPr>
          <w:rFonts w:ascii="Times New Roman" w:hAnsi="Times New Roman" w:cs="Times New Roman"/>
          <w:sz w:val="24"/>
        </w:rPr>
        <w:t xml:space="preserve"> 12,1-7; 15,1-19; 17,1-27; 22,1-18). Il Sinai costituisce la quarta tappa: Mosè e Israele diventano gli «eletti» della rivelazione e della comunicazione del disegno divino sulla terra (Es 19-24; </w:t>
      </w:r>
      <w:proofErr w:type="spellStart"/>
      <w:r w:rsidRPr="003A02F0">
        <w:rPr>
          <w:rFonts w:ascii="Times New Roman" w:hAnsi="Times New Roman" w:cs="Times New Roman"/>
          <w:sz w:val="24"/>
        </w:rPr>
        <w:t>Dt</w:t>
      </w:r>
      <w:proofErr w:type="spellEnd"/>
      <w:r w:rsidRPr="003A02F0">
        <w:rPr>
          <w:rFonts w:ascii="Times New Roman" w:hAnsi="Times New Roman" w:cs="Times New Roman"/>
          <w:sz w:val="24"/>
        </w:rPr>
        <w:t xml:space="preserve"> 5-7). Un quinto livello sarà realizzato con la tribù di Levi, consacrata al servizio di Dio presente nel suo Santuario (Es 32,25-29; </w:t>
      </w:r>
      <w:proofErr w:type="spellStart"/>
      <w:r w:rsidRPr="003A02F0">
        <w:rPr>
          <w:rFonts w:ascii="Times New Roman" w:hAnsi="Times New Roman" w:cs="Times New Roman"/>
          <w:sz w:val="24"/>
        </w:rPr>
        <w:t>Dt</w:t>
      </w:r>
      <w:proofErr w:type="spellEnd"/>
      <w:r w:rsidRPr="003A02F0">
        <w:rPr>
          <w:rFonts w:ascii="Times New Roman" w:hAnsi="Times New Roman" w:cs="Times New Roman"/>
          <w:sz w:val="24"/>
        </w:rPr>
        <w:t xml:space="preserve"> 10,1-9); la monarchia del re Davide unita al sommo sacerdozio rappresenterà un ulteriore passo in avanti. Resta ancora un momento, assolutamente decisivo, di questa storia</w:t>
      </w:r>
      <w:r w:rsidR="003A02F0" w:rsidRPr="003A02F0">
        <w:rPr>
          <w:rFonts w:ascii="Times New Roman" w:hAnsi="Times New Roman" w:cs="Times New Roman"/>
          <w:sz w:val="24"/>
        </w:rPr>
        <w:t xml:space="preserve"> </w:t>
      </w:r>
      <w:r w:rsidRPr="003A02F0">
        <w:rPr>
          <w:rFonts w:ascii="Times New Roman" w:hAnsi="Times New Roman" w:cs="Times New Roman"/>
          <w:sz w:val="24"/>
        </w:rPr>
        <w:t xml:space="preserve">di alleanze, che diventerà il segno della «nuova creazione»: esso sarà in realtà un «trampolino di lancio» verso il futuro, il Messia, re e sacerdote (cfr. </w:t>
      </w:r>
      <w:proofErr w:type="spellStart"/>
      <w:r w:rsidRPr="003A02F0">
        <w:rPr>
          <w:rFonts w:ascii="Times New Roman" w:hAnsi="Times New Roman" w:cs="Times New Roman"/>
          <w:sz w:val="24"/>
        </w:rPr>
        <w:t>Ger</w:t>
      </w:r>
      <w:proofErr w:type="spellEnd"/>
      <w:r w:rsidRPr="003A02F0">
        <w:rPr>
          <w:rFonts w:ascii="Times New Roman" w:hAnsi="Times New Roman" w:cs="Times New Roman"/>
          <w:sz w:val="24"/>
        </w:rPr>
        <w:t xml:space="preserve"> 31,31-34), nel quale si compirà la pienezza del disegno di Dio e la salvezza dell'umanità (cfr. </w:t>
      </w:r>
      <w:proofErr w:type="spellStart"/>
      <w:r w:rsidRPr="003A02F0">
        <w:rPr>
          <w:rFonts w:ascii="Times New Roman" w:hAnsi="Times New Roman" w:cs="Times New Roman"/>
          <w:sz w:val="24"/>
        </w:rPr>
        <w:t>Ef</w:t>
      </w:r>
      <w:proofErr w:type="spellEnd"/>
      <w:r w:rsidRPr="003A02F0">
        <w:rPr>
          <w:rFonts w:ascii="Times New Roman" w:hAnsi="Times New Roman" w:cs="Times New Roman"/>
          <w:sz w:val="24"/>
        </w:rPr>
        <w:t xml:space="preserve"> 1,3-14).</w:t>
      </w:r>
    </w:p>
    <w:p w:rsidR="006C0C5C" w:rsidRPr="003A02F0" w:rsidRDefault="006C0C5C" w:rsidP="00C172A3">
      <w:pPr>
        <w:pStyle w:val="Paragrafoelenco"/>
        <w:numPr>
          <w:ilvl w:val="0"/>
          <w:numId w:val="1"/>
        </w:numPr>
        <w:spacing w:after="0" w:line="276" w:lineRule="auto"/>
        <w:jc w:val="both"/>
        <w:rPr>
          <w:rFonts w:ascii="Times New Roman" w:hAnsi="Times New Roman" w:cs="Times New Roman"/>
          <w:caps/>
          <w:sz w:val="24"/>
        </w:rPr>
      </w:pPr>
      <w:r w:rsidRPr="003A02F0">
        <w:rPr>
          <w:rFonts w:ascii="Times New Roman" w:hAnsi="Times New Roman" w:cs="Times New Roman"/>
          <w:caps/>
          <w:sz w:val="24"/>
        </w:rPr>
        <w:t>Contesto Storico</w:t>
      </w:r>
    </w:p>
    <w:p w:rsidR="001F18A6" w:rsidRPr="003A02F0" w:rsidRDefault="001F18A6" w:rsidP="00C172A3">
      <w:pPr>
        <w:spacing w:after="0" w:line="276" w:lineRule="auto"/>
        <w:jc w:val="both"/>
        <w:rPr>
          <w:rFonts w:ascii="Times New Roman" w:hAnsi="Times New Roman" w:cs="Times New Roman"/>
          <w:b/>
          <w:sz w:val="24"/>
        </w:rPr>
      </w:pPr>
      <w:r w:rsidRPr="003A02F0">
        <w:rPr>
          <w:rFonts w:ascii="Times New Roman" w:hAnsi="Times New Roman" w:cs="Times New Roman"/>
          <w:b/>
          <w:sz w:val="24"/>
        </w:rPr>
        <w:t>Israele in Egitto</w:t>
      </w:r>
    </w:p>
    <w:p w:rsidR="001F18A6" w:rsidRPr="003A02F0" w:rsidRDefault="001F18A6" w:rsidP="00C172A3">
      <w:pPr>
        <w:spacing w:after="0" w:line="276" w:lineRule="auto"/>
        <w:jc w:val="both"/>
        <w:rPr>
          <w:rFonts w:ascii="Times New Roman" w:hAnsi="Times New Roman" w:cs="Times New Roman"/>
          <w:sz w:val="24"/>
        </w:rPr>
      </w:pPr>
      <w:r w:rsidRPr="003A02F0">
        <w:rPr>
          <w:rFonts w:ascii="Times New Roman" w:hAnsi="Times New Roman" w:cs="Times New Roman"/>
          <w:sz w:val="24"/>
        </w:rPr>
        <w:t xml:space="preserve">La notizia dell'insediamento della famiglia di Giacobbe nella terra di </w:t>
      </w:r>
      <w:proofErr w:type="spellStart"/>
      <w:r w:rsidRPr="003A02F0">
        <w:rPr>
          <w:rFonts w:ascii="Times New Roman" w:hAnsi="Times New Roman" w:cs="Times New Roman"/>
          <w:sz w:val="24"/>
        </w:rPr>
        <w:t>Gosen</w:t>
      </w:r>
      <w:proofErr w:type="spellEnd"/>
      <w:r w:rsidRPr="003A02F0">
        <w:rPr>
          <w:rFonts w:ascii="Times New Roman" w:hAnsi="Times New Roman" w:cs="Times New Roman"/>
          <w:sz w:val="24"/>
        </w:rPr>
        <w:t>/</w:t>
      </w:r>
      <w:proofErr w:type="spellStart"/>
      <w:r w:rsidRPr="003A02F0">
        <w:rPr>
          <w:rFonts w:ascii="Times New Roman" w:hAnsi="Times New Roman" w:cs="Times New Roman"/>
          <w:sz w:val="24"/>
        </w:rPr>
        <w:t>Ramses</w:t>
      </w:r>
      <w:proofErr w:type="spellEnd"/>
      <w:r w:rsidRPr="003A02F0">
        <w:rPr>
          <w:rFonts w:ascii="Times New Roman" w:hAnsi="Times New Roman" w:cs="Times New Roman"/>
          <w:sz w:val="24"/>
        </w:rPr>
        <w:t xml:space="preserve"> deve essere letta nell'ambito delle relazioni tra l'Egitto e la terra di </w:t>
      </w:r>
      <w:proofErr w:type="spellStart"/>
      <w:r w:rsidRPr="003A02F0">
        <w:rPr>
          <w:rFonts w:ascii="Times New Roman" w:hAnsi="Times New Roman" w:cs="Times New Roman"/>
          <w:sz w:val="24"/>
        </w:rPr>
        <w:t>Canaan</w:t>
      </w:r>
      <w:proofErr w:type="spellEnd"/>
      <w:r w:rsidRPr="003A02F0">
        <w:rPr>
          <w:rFonts w:ascii="Times New Roman" w:hAnsi="Times New Roman" w:cs="Times New Roman"/>
          <w:sz w:val="24"/>
        </w:rPr>
        <w:t xml:space="preserve">. Le fonti documentarie egiziane, confermate dagli scavi archeologici, provano che popolazioni nomadi (chiamate </w:t>
      </w:r>
      <w:proofErr w:type="spellStart"/>
      <w:r w:rsidRPr="003A02F0">
        <w:rPr>
          <w:rFonts w:ascii="Times New Roman" w:hAnsi="Times New Roman" w:cs="Times New Roman"/>
          <w:i/>
          <w:sz w:val="24"/>
        </w:rPr>
        <w:t>shasu</w:t>
      </w:r>
      <w:proofErr w:type="spellEnd"/>
      <w:r w:rsidRPr="003A02F0">
        <w:rPr>
          <w:rFonts w:ascii="Times New Roman" w:hAnsi="Times New Roman" w:cs="Times New Roman"/>
          <w:sz w:val="24"/>
        </w:rPr>
        <w:t xml:space="preserve">) provenienti da </w:t>
      </w:r>
      <w:proofErr w:type="spellStart"/>
      <w:r w:rsidRPr="003A02F0">
        <w:rPr>
          <w:rFonts w:ascii="Times New Roman" w:hAnsi="Times New Roman" w:cs="Times New Roman"/>
          <w:sz w:val="24"/>
        </w:rPr>
        <w:t>Canaan</w:t>
      </w:r>
      <w:proofErr w:type="spellEnd"/>
      <w:r w:rsidRPr="003A02F0">
        <w:rPr>
          <w:rFonts w:ascii="Times New Roman" w:hAnsi="Times New Roman" w:cs="Times New Roman"/>
          <w:sz w:val="24"/>
        </w:rPr>
        <w:t xml:space="preserve">, dalla Transgiordania e dal </w:t>
      </w:r>
      <w:proofErr w:type="spellStart"/>
      <w:r w:rsidRPr="003A02F0">
        <w:rPr>
          <w:rFonts w:ascii="Times New Roman" w:hAnsi="Times New Roman" w:cs="Times New Roman"/>
          <w:sz w:val="24"/>
        </w:rPr>
        <w:t>Neghev</w:t>
      </w:r>
      <w:proofErr w:type="spellEnd"/>
      <w:r w:rsidRPr="003A02F0">
        <w:rPr>
          <w:rFonts w:ascii="Times New Roman" w:hAnsi="Times New Roman" w:cs="Times New Roman"/>
          <w:sz w:val="24"/>
        </w:rPr>
        <w:t xml:space="preserve">, tentavano regolarmente di entrare in Egitto dai suoi confini orientali. Tali popolazioni erano ritenute dagli Egiziani inferiori per </w:t>
      </w:r>
      <w:r w:rsidRPr="003A02F0">
        <w:rPr>
          <w:rFonts w:ascii="Times New Roman" w:hAnsi="Times New Roman" w:cs="Times New Roman"/>
          <w:sz w:val="24"/>
        </w:rPr>
        <w:lastRenderedPageBreak/>
        <w:t xml:space="preserve">cultura e civiltà. «Ma sorse sull'Egitto un nuovo re che non aveva conosciuto Giuseppe»: il libro dell'Esodo (1,8) riassume così circa 400 anni di storia, prima di addentrarsi nella narrazione dell'evento chiave della storia di Israele. Lo stanziamento della famiglia di Giacobbe in Egitto e la conseguente permanenza delle tribù israelitiche nella regione orientale del Delta del Nilo sono cronologicamente situate all'epoca degli </w:t>
      </w:r>
      <w:proofErr w:type="spellStart"/>
      <w:r w:rsidRPr="003A02F0">
        <w:rPr>
          <w:rFonts w:ascii="Times New Roman" w:hAnsi="Times New Roman" w:cs="Times New Roman"/>
          <w:sz w:val="24"/>
        </w:rPr>
        <w:t>Hyksos</w:t>
      </w:r>
      <w:proofErr w:type="spellEnd"/>
      <w:r w:rsidRPr="003A02F0">
        <w:rPr>
          <w:rFonts w:ascii="Times New Roman" w:hAnsi="Times New Roman" w:cs="Times New Roman"/>
          <w:sz w:val="24"/>
        </w:rPr>
        <w:t xml:space="preserve"> (</w:t>
      </w:r>
      <w:proofErr w:type="spellStart"/>
      <w:r w:rsidRPr="003A02F0">
        <w:rPr>
          <w:rFonts w:ascii="Times New Roman" w:hAnsi="Times New Roman" w:cs="Times New Roman"/>
          <w:sz w:val="24"/>
        </w:rPr>
        <w:t>ca</w:t>
      </w:r>
      <w:proofErr w:type="spellEnd"/>
      <w:r w:rsidRPr="003A02F0">
        <w:rPr>
          <w:rFonts w:ascii="Times New Roman" w:hAnsi="Times New Roman" w:cs="Times New Roman"/>
          <w:sz w:val="24"/>
        </w:rPr>
        <w:t xml:space="preserve">. 1720- 1550 </w:t>
      </w:r>
      <w:proofErr w:type="spellStart"/>
      <w:r w:rsidRPr="003A02F0">
        <w:rPr>
          <w:rFonts w:ascii="Times New Roman" w:hAnsi="Times New Roman" w:cs="Times New Roman"/>
          <w:sz w:val="24"/>
        </w:rPr>
        <w:t>a.e</w:t>
      </w:r>
      <w:proofErr w:type="spellEnd"/>
      <w:r w:rsidRPr="003A02F0">
        <w:rPr>
          <w:rFonts w:ascii="Times New Roman" w:hAnsi="Times New Roman" w:cs="Times New Roman"/>
          <w:sz w:val="24"/>
        </w:rPr>
        <w:t xml:space="preserve">), nome che significa probabilmente «governatori di terre straniere»: originari delle regioni di </w:t>
      </w:r>
      <w:proofErr w:type="spellStart"/>
      <w:r w:rsidRPr="003A02F0">
        <w:rPr>
          <w:rFonts w:ascii="Times New Roman" w:hAnsi="Times New Roman" w:cs="Times New Roman"/>
          <w:sz w:val="24"/>
        </w:rPr>
        <w:t>Canaan</w:t>
      </w:r>
      <w:proofErr w:type="spellEnd"/>
      <w:r w:rsidRPr="003A02F0">
        <w:rPr>
          <w:rFonts w:ascii="Times New Roman" w:hAnsi="Times New Roman" w:cs="Times New Roman"/>
          <w:sz w:val="24"/>
        </w:rPr>
        <w:t xml:space="preserve">, e penetrati in Egitto attraverso un graduale processo migratorio, approfittando della debolezza del governo centrale, gli </w:t>
      </w:r>
      <w:proofErr w:type="spellStart"/>
      <w:r w:rsidRPr="003A02F0">
        <w:rPr>
          <w:rFonts w:ascii="Times New Roman" w:hAnsi="Times New Roman" w:cs="Times New Roman"/>
          <w:sz w:val="24"/>
        </w:rPr>
        <w:t>Hyksos</w:t>
      </w:r>
      <w:proofErr w:type="spellEnd"/>
      <w:r w:rsidRPr="003A02F0">
        <w:rPr>
          <w:rFonts w:ascii="Times New Roman" w:hAnsi="Times New Roman" w:cs="Times New Roman"/>
          <w:sz w:val="24"/>
        </w:rPr>
        <w:t xml:space="preserve"> si stabiliscono nella regione del Delta riuscendo a tenerla sotto controllo per quasi due secoli. Quando però, intorno al 1550 </w:t>
      </w:r>
      <w:proofErr w:type="spellStart"/>
      <w:r w:rsidRPr="003A02F0">
        <w:rPr>
          <w:rFonts w:ascii="Times New Roman" w:hAnsi="Times New Roman" w:cs="Times New Roman"/>
          <w:sz w:val="24"/>
        </w:rPr>
        <w:t>a.C</w:t>
      </w:r>
      <w:proofErr w:type="spellEnd"/>
      <w:r w:rsidRPr="003A02F0">
        <w:rPr>
          <w:rFonts w:ascii="Times New Roman" w:hAnsi="Times New Roman" w:cs="Times New Roman"/>
          <w:sz w:val="24"/>
        </w:rPr>
        <w:t xml:space="preserve">, vengono sconfitti ed espulsi dal faraone </w:t>
      </w:r>
      <w:proofErr w:type="spellStart"/>
      <w:r w:rsidRPr="003A02F0">
        <w:rPr>
          <w:rFonts w:ascii="Times New Roman" w:hAnsi="Times New Roman" w:cs="Times New Roman"/>
          <w:sz w:val="24"/>
        </w:rPr>
        <w:t>Ahmose</w:t>
      </w:r>
      <w:proofErr w:type="spellEnd"/>
      <w:r w:rsidRPr="003A02F0">
        <w:rPr>
          <w:rFonts w:ascii="Times New Roman" w:hAnsi="Times New Roman" w:cs="Times New Roman"/>
          <w:sz w:val="24"/>
        </w:rPr>
        <w:t xml:space="preserve"> I, la situazione diventa sfavorevole anche per gli </w:t>
      </w:r>
      <w:proofErr w:type="spellStart"/>
      <w:r w:rsidRPr="003A02F0">
        <w:rPr>
          <w:rFonts w:ascii="Times New Roman" w:hAnsi="Times New Roman" w:cs="Times New Roman"/>
          <w:sz w:val="24"/>
        </w:rPr>
        <w:t>lsraeliti</w:t>
      </w:r>
      <w:proofErr w:type="spellEnd"/>
      <w:r w:rsidRPr="003A02F0">
        <w:rPr>
          <w:rFonts w:ascii="Times New Roman" w:hAnsi="Times New Roman" w:cs="Times New Roman"/>
          <w:sz w:val="24"/>
        </w:rPr>
        <w:t xml:space="preserve">, considerati dei «miserabili asiatici, abitanti della sabbia», come tutti i nomadi che entrano ed escono dalla regione del Delta. Attorno al 1350 </w:t>
      </w:r>
      <w:proofErr w:type="spellStart"/>
      <w:r w:rsidRPr="003A02F0">
        <w:rPr>
          <w:rFonts w:ascii="Times New Roman" w:hAnsi="Times New Roman" w:cs="Times New Roman"/>
          <w:sz w:val="24"/>
        </w:rPr>
        <w:t>a.C</w:t>
      </w:r>
      <w:proofErr w:type="spellEnd"/>
      <w:r w:rsidRPr="003A02F0">
        <w:rPr>
          <w:rFonts w:ascii="Times New Roman" w:hAnsi="Times New Roman" w:cs="Times New Roman"/>
          <w:sz w:val="24"/>
        </w:rPr>
        <w:t xml:space="preserve">, gli Egiziani iniziano le costruzioni delle grandi città deposito - </w:t>
      </w:r>
      <w:proofErr w:type="spellStart"/>
      <w:r w:rsidRPr="003A02F0">
        <w:rPr>
          <w:rFonts w:ascii="Times New Roman" w:hAnsi="Times New Roman" w:cs="Times New Roman"/>
          <w:sz w:val="24"/>
        </w:rPr>
        <w:t>Pitom</w:t>
      </w:r>
      <w:proofErr w:type="spellEnd"/>
      <w:r w:rsidRPr="003A02F0">
        <w:rPr>
          <w:rFonts w:ascii="Times New Roman" w:hAnsi="Times New Roman" w:cs="Times New Roman"/>
          <w:sz w:val="24"/>
        </w:rPr>
        <w:t xml:space="preserve"> e </w:t>
      </w:r>
      <w:proofErr w:type="spellStart"/>
      <w:r w:rsidRPr="003A02F0">
        <w:rPr>
          <w:rFonts w:ascii="Times New Roman" w:hAnsi="Times New Roman" w:cs="Times New Roman"/>
          <w:sz w:val="24"/>
        </w:rPr>
        <w:t>Ramses</w:t>
      </w:r>
      <w:proofErr w:type="spellEnd"/>
      <w:r w:rsidRPr="003A02F0">
        <w:rPr>
          <w:rFonts w:ascii="Times New Roman" w:hAnsi="Times New Roman" w:cs="Times New Roman"/>
          <w:sz w:val="24"/>
        </w:rPr>
        <w:t xml:space="preserve"> - nella zona vicina agli accampamenti di questi nomadi, nella parte più a est del Nilo, nel </w:t>
      </w:r>
      <w:proofErr w:type="spellStart"/>
      <w:r w:rsidRPr="003A02F0">
        <w:rPr>
          <w:rFonts w:ascii="Times New Roman" w:hAnsi="Times New Roman" w:cs="Times New Roman"/>
          <w:sz w:val="24"/>
        </w:rPr>
        <w:t>Gosen</w:t>
      </w:r>
      <w:proofErr w:type="spellEnd"/>
      <w:r w:rsidRPr="003A02F0">
        <w:rPr>
          <w:rFonts w:ascii="Times New Roman" w:hAnsi="Times New Roman" w:cs="Times New Roman"/>
          <w:sz w:val="24"/>
        </w:rPr>
        <w:t xml:space="preserve">. Gli «immigrati» (tra cui, appunto, gli Israeliti) vengono sottoposti ai lavori forzati nella fabbricazione di mattoni e nell'attività di costruzione. Probabilmente è sotto il regno di </w:t>
      </w:r>
      <w:proofErr w:type="spellStart"/>
      <w:r w:rsidRPr="003A02F0">
        <w:rPr>
          <w:rFonts w:ascii="Times New Roman" w:hAnsi="Times New Roman" w:cs="Times New Roman"/>
          <w:sz w:val="24"/>
        </w:rPr>
        <w:t>Ramses</w:t>
      </w:r>
      <w:proofErr w:type="spellEnd"/>
      <w:r w:rsidRPr="003A02F0">
        <w:rPr>
          <w:rFonts w:ascii="Times New Roman" w:hAnsi="Times New Roman" w:cs="Times New Roman"/>
          <w:sz w:val="24"/>
        </w:rPr>
        <w:t xml:space="preserve"> Il (1304-1238 </w:t>
      </w:r>
      <w:proofErr w:type="spellStart"/>
      <w:r w:rsidRPr="003A02F0">
        <w:rPr>
          <w:rFonts w:ascii="Times New Roman" w:hAnsi="Times New Roman" w:cs="Times New Roman"/>
          <w:sz w:val="24"/>
        </w:rPr>
        <w:t>a.C</w:t>
      </w:r>
      <w:proofErr w:type="spellEnd"/>
      <w:r w:rsidRPr="003A02F0">
        <w:rPr>
          <w:rFonts w:ascii="Times New Roman" w:hAnsi="Times New Roman" w:cs="Times New Roman"/>
          <w:sz w:val="24"/>
        </w:rPr>
        <w:t>), il più potente e grande costruttore, che la schiavitù raggiunge il suo apice: «gli Egiziani sottoposero i figli d'Israele a un lavoro massacrante: amareggiarono la loro vita con un duro lavoro nella preparazione dell'argilla e dei mattoni e con ogni genere di lavoro nei campi: lavori ai quali li costrinsero con dura schiavitù» (Es 1,13-14).</w:t>
      </w:r>
    </w:p>
    <w:p w:rsidR="001F18A6" w:rsidRPr="003A02F0" w:rsidRDefault="001F18A6" w:rsidP="00C172A3">
      <w:pPr>
        <w:spacing w:after="0" w:line="276" w:lineRule="auto"/>
        <w:jc w:val="both"/>
        <w:rPr>
          <w:rFonts w:ascii="Times New Roman" w:hAnsi="Times New Roman" w:cs="Times New Roman"/>
          <w:b/>
          <w:sz w:val="24"/>
        </w:rPr>
      </w:pPr>
      <w:r w:rsidRPr="003A02F0">
        <w:rPr>
          <w:rFonts w:ascii="Times New Roman" w:hAnsi="Times New Roman" w:cs="Times New Roman"/>
          <w:b/>
          <w:sz w:val="24"/>
        </w:rPr>
        <w:t>L'esodo è un avvenimento storico?</w:t>
      </w:r>
    </w:p>
    <w:p w:rsidR="001F18A6" w:rsidRPr="003A02F0" w:rsidRDefault="001F18A6" w:rsidP="00C172A3">
      <w:pPr>
        <w:spacing w:after="0" w:line="276" w:lineRule="auto"/>
        <w:jc w:val="both"/>
        <w:rPr>
          <w:rFonts w:ascii="Times New Roman" w:hAnsi="Times New Roman" w:cs="Times New Roman"/>
          <w:sz w:val="24"/>
        </w:rPr>
      </w:pPr>
      <w:r w:rsidRPr="003A02F0">
        <w:rPr>
          <w:rFonts w:ascii="Times New Roman" w:hAnsi="Times New Roman" w:cs="Times New Roman"/>
          <w:sz w:val="24"/>
        </w:rPr>
        <w:t>Per rispondere a questa domanda, occorre tenere presente quanto detto circa il valore storiografico delle narrazioni bibliche. Possiamo parlare dell'esodo com</w:t>
      </w:r>
      <w:r w:rsidR="003A02F0" w:rsidRPr="003A02F0">
        <w:rPr>
          <w:rFonts w:ascii="Times New Roman" w:hAnsi="Times New Roman" w:cs="Times New Roman"/>
          <w:sz w:val="24"/>
        </w:rPr>
        <w:t>e di un avvenimento «originario</w:t>
      </w:r>
      <w:r w:rsidRPr="003A02F0">
        <w:rPr>
          <w:rFonts w:ascii="Times New Roman" w:hAnsi="Times New Roman" w:cs="Times New Roman"/>
          <w:sz w:val="24"/>
        </w:rPr>
        <w:t xml:space="preserve">», cioè fondatore della storia di Israele come soggetto di diritto e di libertà, detentore quindi - in ogni suo membro e nella sua totalità - di quello statuto che permette di entrare in relazione con l'altro e con l'Altro, passando «dalla schiavitù (dell'Egitto) al servizio (di Dio)», </w:t>
      </w:r>
    </w:p>
    <w:p w:rsidR="001F18A6" w:rsidRPr="003A02F0" w:rsidRDefault="003A02F0" w:rsidP="00C172A3">
      <w:pPr>
        <w:spacing w:after="0" w:line="276" w:lineRule="auto"/>
        <w:jc w:val="both"/>
        <w:rPr>
          <w:rFonts w:ascii="Times New Roman" w:hAnsi="Times New Roman" w:cs="Times New Roman"/>
          <w:b/>
          <w:sz w:val="24"/>
        </w:rPr>
      </w:pPr>
      <w:r w:rsidRPr="003A02F0">
        <w:rPr>
          <w:rFonts w:ascii="Times New Roman" w:hAnsi="Times New Roman" w:cs="Times New Roman"/>
          <w:b/>
          <w:sz w:val="24"/>
        </w:rPr>
        <w:t>L</w:t>
      </w:r>
      <w:r w:rsidR="001F18A6" w:rsidRPr="003A02F0">
        <w:rPr>
          <w:rFonts w:ascii="Times New Roman" w:hAnsi="Times New Roman" w:cs="Times New Roman"/>
          <w:b/>
          <w:sz w:val="24"/>
        </w:rPr>
        <w:t>'ingresso nella terra: tre ipotesi</w:t>
      </w:r>
    </w:p>
    <w:p w:rsidR="001F18A6" w:rsidRPr="003A02F0" w:rsidRDefault="001F18A6" w:rsidP="00C172A3">
      <w:pPr>
        <w:spacing w:after="0" w:line="276" w:lineRule="auto"/>
        <w:jc w:val="both"/>
        <w:rPr>
          <w:rFonts w:ascii="Times New Roman" w:hAnsi="Times New Roman" w:cs="Times New Roman"/>
          <w:sz w:val="24"/>
        </w:rPr>
      </w:pPr>
      <w:r w:rsidRPr="003A02F0">
        <w:rPr>
          <w:rFonts w:ascii="Times New Roman" w:hAnsi="Times New Roman" w:cs="Times New Roman"/>
          <w:sz w:val="24"/>
        </w:rPr>
        <w:t xml:space="preserve">L'ingresso di Israele nella terra di </w:t>
      </w:r>
      <w:proofErr w:type="spellStart"/>
      <w:r w:rsidRPr="003A02F0">
        <w:rPr>
          <w:rFonts w:ascii="Times New Roman" w:hAnsi="Times New Roman" w:cs="Times New Roman"/>
          <w:sz w:val="24"/>
        </w:rPr>
        <w:t>Canaan</w:t>
      </w:r>
      <w:proofErr w:type="spellEnd"/>
      <w:r w:rsidRPr="003A02F0">
        <w:rPr>
          <w:rFonts w:ascii="Times New Roman" w:hAnsi="Times New Roman" w:cs="Times New Roman"/>
          <w:sz w:val="24"/>
        </w:rPr>
        <w:t xml:space="preserve"> trova la sua attestazione in tre «gruppi» testuali: </w:t>
      </w:r>
    </w:p>
    <w:p w:rsidR="001F18A6" w:rsidRPr="003A02F0" w:rsidRDefault="001F18A6" w:rsidP="00C172A3">
      <w:pPr>
        <w:spacing w:after="0" w:line="276" w:lineRule="auto"/>
        <w:jc w:val="both"/>
        <w:rPr>
          <w:rFonts w:ascii="Times New Roman" w:hAnsi="Times New Roman" w:cs="Times New Roman"/>
          <w:sz w:val="24"/>
        </w:rPr>
      </w:pPr>
      <w:r w:rsidRPr="003A02F0">
        <w:rPr>
          <w:rFonts w:ascii="Times New Roman" w:hAnsi="Times New Roman" w:cs="Times New Roman"/>
          <w:sz w:val="24"/>
        </w:rPr>
        <w:t xml:space="preserve">a) </w:t>
      </w:r>
      <w:proofErr w:type="spellStart"/>
      <w:r w:rsidRPr="003A02F0">
        <w:rPr>
          <w:rFonts w:ascii="Times New Roman" w:hAnsi="Times New Roman" w:cs="Times New Roman"/>
          <w:sz w:val="24"/>
        </w:rPr>
        <w:t>Gs</w:t>
      </w:r>
      <w:proofErr w:type="spellEnd"/>
      <w:r w:rsidRPr="003A02F0">
        <w:rPr>
          <w:rFonts w:ascii="Times New Roman" w:hAnsi="Times New Roman" w:cs="Times New Roman"/>
          <w:sz w:val="24"/>
        </w:rPr>
        <w:t xml:space="preserve"> 1-12 che descrive un evento unitario; </w:t>
      </w:r>
    </w:p>
    <w:p w:rsidR="001F18A6" w:rsidRPr="003A02F0" w:rsidRDefault="001F18A6" w:rsidP="00C172A3">
      <w:pPr>
        <w:spacing w:after="0" w:line="276" w:lineRule="auto"/>
        <w:jc w:val="both"/>
        <w:rPr>
          <w:rFonts w:ascii="Times New Roman" w:hAnsi="Times New Roman" w:cs="Times New Roman"/>
          <w:sz w:val="24"/>
        </w:rPr>
      </w:pPr>
      <w:r w:rsidRPr="003A02F0">
        <w:rPr>
          <w:rFonts w:ascii="Times New Roman" w:hAnsi="Times New Roman" w:cs="Times New Roman"/>
          <w:sz w:val="24"/>
        </w:rPr>
        <w:t xml:space="preserve">b) </w:t>
      </w:r>
      <w:proofErr w:type="spellStart"/>
      <w:r w:rsidRPr="003A02F0">
        <w:rPr>
          <w:rFonts w:ascii="Times New Roman" w:hAnsi="Times New Roman" w:cs="Times New Roman"/>
          <w:sz w:val="24"/>
        </w:rPr>
        <w:t>Gdc</w:t>
      </w:r>
      <w:proofErr w:type="spellEnd"/>
      <w:r w:rsidRPr="003A02F0">
        <w:rPr>
          <w:rFonts w:ascii="Times New Roman" w:hAnsi="Times New Roman" w:cs="Times New Roman"/>
          <w:sz w:val="24"/>
        </w:rPr>
        <w:t xml:space="preserve"> 1,1- 2,5 che offre una versione più frammentaria; </w:t>
      </w:r>
    </w:p>
    <w:p w:rsidR="001F18A6" w:rsidRPr="003A02F0" w:rsidRDefault="001F18A6" w:rsidP="00C172A3">
      <w:pPr>
        <w:spacing w:after="0" w:line="276" w:lineRule="auto"/>
        <w:jc w:val="both"/>
        <w:rPr>
          <w:rFonts w:ascii="Times New Roman" w:hAnsi="Times New Roman" w:cs="Times New Roman"/>
          <w:sz w:val="24"/>
        </w:rPr>
      </w:pPr>
      <w:r w:rsidRPr="003A02F0">
        <w:rPr>
          <w:rFonts w:ascii="Times New Roman" w:hAnsi="Times New Roman" w:cs="Times New Roman"/>
          <w:sz w:val="24"/>
        </w:rPr>
        <w:t xml:space="preserve">c) </w:t>
      </w:r>
      <w:proofErr w:type="spellStart"/>
      <w:r w:rsidRPr="003A02F0">
        <w:rPr>
          <w:rFonts w:ascii="Times New Roman" w:hAnsi="Times New Roman" w:cs="Times New Roman"/>
          <w:sz w:val="24"/>
        </w:rPr>
        <w:t>Gen</w:t>
      </w:r>
      <w:proofErr w:type="spellEnd"/>
      <w:r w:rsidRPr="003A02F0">
        <w:rPr>
          <w:rFonts w:ascii="Times New Roman" w:hAnsi="Times New Roman" w:cs="Times New Roman"/>
          <w:sz w:val="24"/>
        </w:rPr>
        <w:t xml:space="preserve"> 34; Nm 13-14; 32-34;</w:t>
      </w:r>
    </w:p>
    <w:p w:rsidR="001F18A6" w:rsidRPr="003A02F0" w:rsidRDefault="001F18A6" w:rsidP="00C172A3">
      <w:pPr>
        <w:spacing w:after="0" w:line="276" w:lineRule="auto"/>
        <w:jc w:val="both"/>
        <w:rPr>
          <w:rFonts w:ascii="Times New Roman" w:hAnsi="Times New Roman" w:cs="Times New Roman"/>
          <w:sz w:val="24"/>
        </w:rPr>
      </w:pPr>
      <w:proofErr w:type="spellStart"/>
      <w:r w:rsidRPr="003A02F0">
        <w:rPr>
          <w:rFonts w:ascii="Times New Roman" w:hAnsi="Times New Roman" w:cs="Times New Roman"/>
          <w:sz w:val="24"/>
        </w:rPr>
        <w:t>Gdc</w:t>
      </w:r>
      <w:proofErr w:type="spellEnd"/>
      <w:r w:rsidRPr="003A02F0">
        <w:rPr>
          <w:rFonts w:ascii="Times New Roman" w:hAnsi="Times New Roman" w:cs="Times New Roman"/>
          <w:sz w:val="24"/>
        </w:rPr>
        <w:t xml:space="preserve"> 17-18 che presentano un'occupazione ora pacifica, ora militare, non unitaria. Storicamente, cosa è accaduto? Gli studiosi avanzano tre ipotesi: 1. La conquista, almeno nelle prime tappe, fu il prodotto di pacifici insediamenti nei territori delle città-stato più estese e meno popolate. In un secondo momento avrebbe assunto carattere violento. 2. La conquista sarebbe avvenuta in forma frammentaria da quattro gruppi distinti: Giuda, Simeone e Levi nel sud; Ruben, </w:t>
      </w:r>
      <w:proofErr w:type="spellStart"/>
      <w:r w:rsidRPr="003A02F0">
        <w:rPr>
          <w:rFonts w:ascii="Times New Roman" w:hAnsi="Times New Roman" w:cs="Times New Roman"/>
          <w:sz w:val="24"/>
        </w:rPr>
        <w:t>Gad</w:t>
      </w:r>
      <w:proofErr w:type="spellEnd"/>
      <w:r w:rsidRPr="003A02F0">
        <w:rPr>
          <w:rFonts w:ascii="Times New Roman" w:hAnsi="Times New Roman" w:cs="Times New Roman"/>
          <w:sz w:val="24"/>
        </w:rPr>
        <w:t xml:space="preserve"> e Manasse nella Transgiordania; Beniamino ed </w:t>
      </w:r>
      <w:proofErr w:type="spellStart"/>
      <w:r w:rsidRPr="003A02F0">
        <w:rPr>
          <w:rFonts w:ascii="Times New Roman" w:hAnsi="Times New Roman" w:cs="Times New Roman"/>
          <w:sz w:val="24"/>
        </w:rPr>
        <w:t>Efraim</w:t>
      </w:r>
      <w:proofErr w:type="spellEnd"/>
      <w:r w:rsidRPr="003A02F0">
        <w:rPr>
          <w:rFonts w:ascii="Times New Roman" w:hAnsi="Times New Roman" w:cs="Times New Roman"/>
          <w:sz w:val="24"/>
        </w:rPr>
        <w:t xml:space="preserve"> al centro; </w:t>
      </w:r>
      <w:proofErr w:type="spellStart"/>
      <w:r w:rsidRPr="003A02F0">
        <w:rPr>
          <w:rFonts w:ascii="Times New Roman" w:hAnsi="Times New Roman" w:cs="Times New Roman"/>
          <w:sz w:val="24"/>
        </w:rPr>
        <w:t>Aser</w:t>
      </w:r>
      <w:proofErr w:type="spellEnd"/>
      <w:r w:rsidRPr="003A02F0">
        <w:rPr>
          <w:rFonts w:ascii="Times New Roman" w:hAnsi="Times New Roman" w:cs="Times New Roman"/>
          <w:sz w:val="24"/>
        </w:rPr>
        <w:t xml:space="preserve">, </w:t>
      </w:r>
      <w:proofErr w:type="spellStart"/>
      <w:r w:rsidRPr="003A02F0">
        <w:rPr>
          <w:rFonts w:ascii="Times New Roman" w:hAnsi="Times New Roman" w:cs="Times New Roman"/>
          <w:sz w:val="24"/>
        </w:rPr>
        <w:t>Zabulon</w:t>
      </w:r>
      <w:proofErr w:type="spellEnd"/>
      <w:r w:rsidRPr="003A02F0">
        <w:rPr>
          <w:rFonts w:ascii="Times New Roman" w:hAnsi="Times New Roman" w:cs="Times New Roman"/>
          <w:sz w:val="24"/>
        </w:rPr>
        <w:t xml:space="preserve"> e </w:t>
      </w:r>
      <w:proofErr w:type="spellStart"/>
      <w:r w:rsidRPr="003A02F0">
        <w:rPr>
          <w:rFonts w:ascii="Times New Roman" w:hAnsi="Times New Roman" w:cs="Times New Roman"/>
          <w:sz w:val="24"/>
        </w:rPr>
        <w:t>Neftali</w:t>
      </w:r>
      <w:proofErr w:type="spellEnd"/>
      <w:r w:rsidRPr="003A02F0">
        <w:rPr>
          <w:rFonts w:ascii="Times New Roman" w:hAnsi="Times New Roman" w:cs="Times New Roman"/>
          <w:sz w:val="24"/>
        </w:rPr>
        <w:t xml:space="preserve"> al nord. Questi ultimi, tra l'altro, non sarebbero mai stati in Egitto. 3. La conquista nascerebbe «dall'interno» come rivolta delle popolazioni rurali contro lo sfruttamento delle città-stato. Alcuni contadini, oppressi dalle tasse, avrebbero lasciato i territori delle città occupando le terre disabitate sugli altipiani, unendosi qui a gruppi semitici di pastori.</w:t>
      </w:r>
    </w:p>
    <w:p w:rsidR="0076658C" w:rsidRPr="003A02F0" w:rsidRDefault="0076658C" w:rsidP="00C172A3">
      <w:pPr>
        <w:spacing w:after="0" w:line="276" w:lineRule="auto"/>
        <w:jc w:val="both"/>
        <w:rPr>
          <w:rFonts w:ascii="Times New Roman" w:hAnsi="Times New Roman" w:cs="Times New Roman"/>
          <w:sz w:val="24"/>
        </w:rPr>
      </w:pPr>
      <w:r w:rsidRPr="003A02F0">
        <w:rPr>
          <w:rFonts w:ascii="Times New Roman" w:hAnsi="Times New Roman" w:cs="Times New Roman"/>
          <w:sz w:val="24"/>
        </w:rPr>
        <w:t>ARCHEOLOGIA</w:t>
      </w:r>
    </w:p>
    <w:p w:rsidR="0076658C" w:rsidRPr="003A02F0" w:rsidRDefault="0076658C" w:rsidP="00C172A3">
      <w:pPr>
        <w:spacing w:after="0" w:line="276" w:lineRule="auto"/>
        <w:jc w:val="both"/>
        <w:rPr>
          <w:rFonts w:ascii="Times New Roman" w:hAnsi="Times New Roman" w:cs="Times New Roman"/>
          <w:b/>
          <w:sz w:val="24"/>
        </w:rPr>
      </w:pPr>
      <w:r w:rsidRPr="003A02F0">
        <w:rPr>
          <w:rFonts w:ascii="Times New Roman" w:hAnsi="Times New Roman" w:cs="Times New Roman"/>
          <w:b/>
          <w:sz w:val="24"/>
        </w:rPr>
        <w:t>La stele di Israele</w:t>
      </w:r>
    </w:p>
    <w:p w:rsidR="0076658C" w:rsidRPr="003A02F0" w:rsidRDefault="0076658C" w:rsidP="00C172A3">
      <w:pPr>
        <w:spacing w:after="0" w:line="276" w:lineRule="auto"/>
        <w:jc w:val="both"/>
        <w:rPr>
          <w:rFonts w:ascii="Times New Roman" w:hAnsi="Times New Roman" w:cs="Times New Roman"/>
          <w:sz w:val="24"/>
        </w:rPr>
      </w:pPr>
      <w:r w:rsidRPr="003A02F0">
        <w:rPr>
          <w:rFonts w:ascii="Times New Roman" w:hAnsi="Times New Roman" w:cs="Times New Roman"/>
          <w:sz w:val="24"/>
        </w:rPr>
        <w:t xml:space="preserve">Il più antico documento extra-biblico a fare menzione esplicita di Israele è la stele celebrativa del faraone </w:t>
      </w:r>
      <w:proofErr w:type="spellStart"/>
      <w:r w:rsidRPr="003A02F0">
        <w:rPr>
          <w:rFonts w:ascii="Times New Roman" w:hAnsi="Times New Roman" w:cs="Times New Roman"/>
          <w:sz w:val="24"/>
        </w:rPr>
        <w:t>Merneptah</w:t>
      </w:r>
      <w:proofErr w:type="spellEnd"/>
      <w:r w:rsidRPr="003A02F0">
        <w:rPr>
          <w:rFonts w:ascii="Times New Roman" w:hAnsi="Times New Roman" w:cs="Times New Roman"/>
          <w:sz w:val="24"/>
        </w:rPr>
        <w:t xml:space="preserve"> (figlio del grande </w:t>
      </w:r>
      <w:proofErr w:type="spellStart"/>
      <w:r w:rsidRPr="003A02F0">
        <w:rPr>
          <w:rFonts w:ascii="Times New Roman" w:hAnsi="Times New Roman" w:cs="Times New Roman"/>
          <w:sz w:val="24"/>
        </w:rPr>
        <w:t>Ramses</w:t>
      </w:r>
      <w:proofErr w:type="spellEnd"/>
      <w:r w:rsidRPr="003A02F0">
        <w:rPr>
          <w:rFonts w:ascii="Times New Roman" w:hAnsi="Times New Roman" w:cs="Times New Roman"/>
          <w:sz w:val="24"/>
        </w:rPr>
        <w:t xml:space="preserve"> Il), databile nella seconda metà del XIII secolo a.C</w:t>
      </w:r>
      <w:r w:rsidR="003A02F0" w:rsidRPr="003A02F0">
        <w:rPr>
          <w:rFonts w:ascii="Times New Roman" w:hAnsi="Times New Roman" w:cs="Times New Roman"/>
          <w:sz w:val="24"/>
        </w:rPr>
        <w:t>.</w:t>
      </w:r>
      <w:r w:rsidRPr="003A02F0">
        <w:rPr>
          <w:rFonts w:ascii="Times New Roman" w:hAnsi="Times New Roman" w:cs="Times New Roman"/>
          <w:sz w:val="24"/>
        </w:rPr>
        <w:t>, rinvenuta a Tebe e conosciuta anche come «stele di Israele». La stele si riferisce anzitutto alla vittoria del faraone contro la Libia (chiamata «</w:t>
      </w:r>
      <w:proofErr w:type="spellStart"/>
      <w:r w:rsidRPr="003A02F0">
        <w:rPr>
          <w:rFonts w:ascii="Times New Roman" w:hAnsi="Times New Roman" w:cs="Times New Roman"/>
          <w:sz w:val="24"/>
        </w:rPr>
        <w:t>Tehenu</w:t>
      </w:r>
      <w:proofErr w:type="spellEnd"/>
      <w:r w:rsidRPr="003A02F0">
        <w:rPr>
          <w:rFonts w:ascii="Times New Roman" w:hAnsi="Times New Roman" w:cs="Times New Roman"/>
          <w:sz w:val="24"/>
        </w:rPr>
        <w:t>» e «Nove Archi») nel quinto anno del suo regno; ma le righe finali fanno riferimento alle conquiste nell'area si</w:t>
      </w:r>
      <w:r w:rsidR="003A02F0" w:rsidRPr="003A02F0">
        <w:rPr>
          <w:rFonts w:ascii="Times New Roman" w:hAnsi="Times New Roman" w:cs="Times New Roman"/>
          <w:sz w:val="24"/>
        </w:rPr>
        <w:t>ro-palestinese (chiamata «</w:t>
      </w:r>
      <w:proofErr w:type="spellStart"/>
      <w:r w:rsidR="003A02F0" w:rsidRPr="003A02F0">
        <w:rPr>
          <w:rFonts w:ascii="Times New Roman" w:hAnsi="Times New Roman" w:cs="Times New Roman"/>
          <w:sz w:val="24"/>
        </w:rPr>
        <w:t>Hatti</w:t>
      </w:r>
      <w:proofErr w:type="spellEnd"/>
      <w:r w:rsidRPr="003A02F0">
        <w:rPr>
          <w:rFonts w:ascii="Times New Roman" w:hAnsi="Times New Roman" w:cs="Times New Roman"/>
          <w:sz w:val="24"/>
        </w:rPr>
        <w:t>», «</w:t>
      </w:r>
      <w:proofErr w:type="spellStart"/>
      <w:r w:rsidRPr="003A02F0">
        <w:rPr>
          <w:rFonts w:ascii="Times New Roman" w:hAnsi="Times New Roman" w:cs="Times New Roman"/>
          <w:sz w:val="24"/>
        </w:rPr>
        <w:t>Canaan</w:t>
      </w:r>
      <w:proofErr w:type="spellEnd"/>
      <w:r w:rsidRPr="003A02F0">
        <w:rPr>
          <w:rFonts w:ascii="Times New Roman" w:hAnsi="Times New Roman" w:cs="Times New Roman"/>
          <w:sz w:val="24"/>
        </w:rPr>
        <w:t>» e «</w:t>
      </w:r>
      <w:proofErr w:type="spellStart"/>
      <w:r w:rsidRPr="003A02F0">
        <w:rPr>
          <w:rFonts w:ascii="Times New Roman" w:hAnsi="Times New Roman" w:cs="Times New Roman"/>
          <w:sz w:val="24"/>
        </w:rPr>
        <w:t>Horu</w:t>
      </w:r>
      <w:proofErr w:type="spellEnd"/>
      <w:r w:rsidRPr="003A02F0">
        <w:rPr>
          <w:rFonts w:ascii="Times New Roman" w:hAnsi="Times New Roman" w:cs="Times New Roman"/>
          <w:sz w:val="24"/>
        </w:rPr>
        <w:t xml:space="preserve">») e in modo particolare vengono menzionate le città di </w:t>
      </w:r>
      <w:proofErr w:type="spellStart"/>
      <w:r w:rsidRPr="003A02F0">
        <w:rPr>
          <w:rFonts w:ascii="Times New Roman" w:hAnsi="Times New Roman" w:cs="Times New Roman"/>
          <w:sz w:val="24"/>
        </w:rPr>
        <w:t>Àscalon</w:t>
      </w:r>
      <w:proofErr w:type="spellEnd"/>
      <w:r w:rsidRPr="003A02F0">
        <w:rPr>
          <w:rFonts w:ascii="Times New Roman" w:hAnsi="Times New Roman" w:cs="Times New Roman"/>
          <w:sz w:val="24"/>
        </w:rPr>
        <w:t xml:space="preserve">, </w:t>
      </w:r>
      <w:proofErr w:type="spellStart"/>
      <w:r w:rsidRPr="003A02F0">
        <w:rPr>
          <w:rFonts w:ascii="Times New Roman" w:hAnsi="Times New Roman" w:cs="Times New Roman"/>
          <w:sz w:val="24"/>
        </w:rPr>
        <w:t>Ghezer</w:t>
      </w:r>
      <w:proofErr w:type="spellEnd"/>
      <w:r w:rsidRPr="003A02F0">
        <w:rPr>
          <w:rFonts w:ascii="Times New Roman" w:hAnsi="Times New Roman" w:cs="Times New Roman"/>
          <w:sz w:val="24"/>
        </w:rPr>
        <w:t xml:space="preserve"> e </w:t>
      </w:r>
      <w:proofErr w:type="spellStart"/>
      <w:r w:rsidRPr="003A02F0">
        <w:rPr>
          <w:rFonts w:ascii="Times New Roman" w:hAnsi="Times New Roman" w:cs="Times New Roman"/>
          <w:sz w:val="24"/>
        </w:rPr>
        <w:t>Yanoam</w:t>
      </w:r>
      <w:proofErr w:type="spellEnd"/>
      <w:r w:rsidRPr="003A02F0">
        <w:rPr>
          <w:rFonts w:ascii="Times New Roman" w:hAnsi="Times New Roman" w:cs="Times New Roman"/>
          <w:sz w:val="24"/>
        </w:rPr>
        <w:t>. Israele viene menzionato solo con il determinativo onomastico, molto probabilmente perché non ancora sedentarizzato. Accettando una successione topografica, nella menzione delle località, da sud a nord, Israele dovrebbe risiedere nella media o alta Galilea. Ecco il brano: «</w:t>
      </w:r>
      <w:r w:rsidRPr="003A02F0">
        <w:rPr>
          <w:rFonts w:ascii="Times New Roman" w:hAnsi="Times New Roman" w:cs="Times New Roman"/>
          <w:i/>
          <w:sz w:val="24"/>
        </w:rPr>
        <w:t xml:space="preserve">I principi si sono prostrati e dicono: Pace! </w:t>
      </w:r>
      <w:proofErr w:type="spellStart"/>
      <w:r w:rsidRPr="003A02F0">
        <w:rPr>
          <w:rFonts w:ascii="Times New Roman" w:hAnsi="Times New Roman" w:cs="Times New Roman"/>
          <w:i/>
          <w:sz w:val="24"/>
        </w:rPr>
        <w:t>Àscalon</w:t>
      </w:r>
      <w:proofErr w:type="spellEnd"/>
      <w:r w:rsidRPr="003A02F0">
        <w:rPr>
          <w:rFonts w:ascii="Times New Roman" w:hAnsi="Times New Roman" w:cs="Times New Roman"/>
          <w:i/>
          <w:sz w:val="24"/>
        </w:rPr>
        <w:t xml:space="preserve"> è stato deportato, tra i Nove Archi nessuno alza la testa, abbiamo preso </w:t>
      </w:r>
      <w:proofErr w:type="spellStart"/>
      <w:r w:rsidRPr="003A02F0">
        <w:rPr>
          <w:rFonts w:ascii="Times New Roman" w:hAnsi="Times New Roman" w:cs="Times New Roman"/>
          <w:i/>
          <w:sz w:val="24"/>
        </w:rPr>
        <w:t>Ghezer</w:t>
      </w:r>
      <w:proofErr w:type="spellEnd"/>
      <w:r w:rsidRPr="003A02F0">
        <w:rPr>
          <w:rFonts w:ascii="Times New Roman" w:hAnsi="Times New Roman" w:cs="Times New Roman"/>
          <w:i/>
          <w:sz w:val="24"/>
        </w:rPr>
        <w:t xml:space="preserve">, </w:t>
      </w:r>
      <w:proofErr w:type="spellStart"/>
      <w:r w:rsidRPr="003A02F0">
        <w:rPr>
          <w:rFonts w:ascii="Times New Roman" w:hAnsi="Times New Roman" w:cs="Times New Roman"/>
          <w:i/>
          <w:sz w:val="24"/>
        </w:rPr>
        <w:t>Tehenu</w:t>
      </w:r>
      <w:proofErr w:type="spellEnd"/>
      <w:r w:rsidRPr="003A02F0">
        <w:rPr>
          <w:rFonts w:ascii="Times New Roman" w:hAnsi="Times New Roman" w:cs="Times New Roman"/>
          <w:i/>
          <w:sz w:val="24"/>
        </w:rPr>
        <w:t xml:space="preserve"> è devastato; </w:t>
      </w:r>
      <w:proofErr w:type="spellStart"/>
      <w:r w:rsidRPr="003A02F0">
        <w:rPr>
          <w:rFonts w:ascii="Times New Roman" w:hAnsi="Times New Roman" w:cs="Times New Roman"/>
          <w:i/>
          <w:sz w:val="24"/>
        </w:rPr>
        <w:t>Hatti</w:t>
      </w:r>
      <w:proofErr w:type="spellEnd"/>
      <w:r w:rsidRPr="003A02F0">
        <w:rPr>
          <w:rFonts w:ascii="Times New Roman" w:hAnsi="Times New Roman" w:cs="Times New Roman"/>
          <w:i/>
          <w:sz w:val="24"/>
        </w:rPr>
        <w:t xml:space="preserve"> è in pace, </w:t>
      </w:r>
      <w:proofErr w:type="spellStart"/>
      <w:r w:rsidRPr="003A02F0">
        <w:rPr>
          <w:rFonts w:ascii="Times New Roman" w:hAnsi="Times New Roman" w:cs="Times New Roman"/>
          <w:i/>
          <w:sz w:val="24"/>
        </w:rPr>
        <w:t>Yanoam</w:t>
      </w:r>
      <w:proofErr w:type="spellEnd"/>
      <w:r w:rsidRPr="003A02F0">
        <w:rPr>
          <w:rFonts w:ascii="Times New Roman" w:hAnsi="Times New Roman" w:cs="Times New Roman"/>
          <w:i/>
          <w:sz w:val="24"/>
        </w:rPr>
        <w:t xml:space="preserve"> non esiste più, </w:t>
      </w:r>
      <w:proofErr w:type="spellStart"/>
      <w:r w:rsidRPr="003A02F0">
        <w:rPr>
          <w:rFonts w:ascii="Times New Roman" w:hAnsi="Times New Roman" w:cs="Times New Roman"/>
          <w:i/>
          <w:sz w:val="24"/>
        </w:rPr>
        <w:t>Canaan</w:t>
      </w:r>
      <w:proofErr w:type="spellEnd"/>
      <w:r w:rsidRPr="003A02F0">
        <w:rPr>
          <w:rFonts w:ascii="Times New Roman" w:hAnsi="Times New Roman" w:cs="Times New Roman"/>
          <w:i/>
          <w:sz w:val="24"/>
        </w:rPr>
        <w:t xml:space="preserve"> è privato della sua malvagità! Israele è stato annientato, </w:t>
      </w:r>
      <w:proofErr w:type="spellStart"/>
      <w:r w:rsidRPr="003A02F0">
        <w:rPr>
          <w:rFonts w:ascii="Times New Roman" w:hAnsi="Times New Roman" w:cs="Times New Roman"/>
          <w:i/>
          <w:sz w:val="24"/>
        </w:rPr>
        <w:t>Horu</w:t>
      </w:r>
      <w:proofErr w:type="spellEnd"/>
      <w:r w:rsidRPr="003A02F0">
        <w:rPr>
          <w:rFonts w:ascii="Times New Roman" w:hAnsi="Times New Roman" w:cs="Times New Roman"/>
          <w:i/>
          <w:sz w:val="24"/>
        </w:rPr>
        <w:t xml:space="preserve"> è come una vedova davanti all'Egitto, e non ha più discendenza</w:t>
      </w:r>
      <w:r w:rsidRPr="003A02F0">
        <w:rPr>
          <w:rFonts w:ascii="Times New Roman" w:hAnsi="Times New Roman" w:cs="Times New Roman"/>
          <w:sz w:val="24"/>
        </w:rPr>
        <w:t xml:space="preserve">». Espressioni come «distrutto; annientato; non ha più discendenza» fanno parte del frasario abitualmente impiegato per parlare di una vittoria totale. Le iscrizioni immediatamente successive che ricordano Israele sono di provenienza assira o moabita, scritte quasi 400 anni dopo quella di </w:t>
      </w:r>
      <w:proofErr w:type="spellStart"/>
      <w:r w:rsidRPr="003A02F0">
        <w:rPr>
          <w:rFonts w:ascii="Times New Roman" w:hAnsi="Times New Roman" w:cs="Times New Roman"/>
          <w:sz w:val="24"/>
        </w:rPr>
        <w:t>Merneptah</w:t>
      </w:r>
      <w:proofErr w:type="spellEnd"/>
      <w:r w:rsidRPr="003A02F0">
        <w:rPr>
          <w:rFonts w:ascii="Times New Roman" w:hAnsi="Times New Roman" w:cs="Times New Roman"/>
          <w:sz w:val="24"/>
        </w:rPr>
        <w:t>.</w:t>
      </w:r>
    </w:p>
    <w:p w:rsidR="0076658C" w:rsidRPr="003A02F0" w:rsidRDefault="0076658C" w:rsidP="00C172A3">
      <w:pPr>
        <w:spacing w:after="0" w:line="276" w:lineRule="auto"/>
        <w:jc w:val="both"/>
        <w:rPr>
          <w:rFonts w:ascii="Times New Roman" w:hAnsi="Times New Roman" w:cs="Times New Roman"/>
          <w:sz w:val="24"/>
        </w:rPr>
      </w:pPr>
      <w:r w:rsidRPr="003A02F0">
        <w:rPr>
          <w:rFonts w:ascii="Times New Roman" w:hAnsi="Times New Roman" w:cs="Times New Roman"/>
          <w:sz w:val="24"/>
        </w:rPr>
        <w:t>Le tracce della schiavitù</w:t>
      </w:r>
    </w:p>
    <w:p w:rsidR="0076658C" w:rsidRPr="003A02F0" w:rsidRDefault="0076658C" w:rsidP="00C172A3">
      <w:pPr>
        <w:spacing w:after="0" w:line="276" w:lineRule="auto"/>
        <w:jc w:val="both"/>
        <w:rPr>
          <w:rFonts w:ascii="Times New Roman" w:hAnsi="Times New Roman" w:cs="Times New Roman"/>
          <w:sz w:val="24"/>
        </w:rPr>
      </w:pPr>
      <w:r w:rsidRPr="003A02F0">
        <w:rPr>
          <w:rFonts w:ascii="Times New Roman" w:hAnsi="Times New Roman" w:cs="Times New Roman"/>
          <w:sz w:val="24"/>
        </w:rPr>
        <w:lastRenderedPageBreak/>
        <w:t xml:space="preserve">In Egitto, la manodopera ordinaria era costituita da soldati, prigionieri di guerra e servi addetti al tempio e alla reggia. Questi ultimi in genere erano schiavi o discendenti di schiavi. Una scena della tomba di </w:t>
      </w:r>
      <w:proofErr w:type="spellStart"/>
      <w:r w:rsidRPr="003A02F0">
        <w:rPr>
          <w:rFonts w:ascii="Times New Roman" w:hAnsi="Times New Roman" w:cs="Times New Roman"/>
          <w:sz w:val="24"/>
        </w:rPr>
        <w:t>Rechmare</w:t>
      </w:r>
      <w:proofErr w:type="spellEnd"/>
      <w:r w:rsidRPr="003A02F0">
        <w:rPr>
          <w:rFonts w:ascii="Times New Roman" w:hAnsi="Times New Roman" w:cs="Times New Roman"/>
          <w:sz w:val="24"/>
        </w:rPr>
        <w:t>, sotto la XVIII Dinastia, rappresenta alcuni uomini che producono e trasportano ma</w:t>
      </w:r>
      <w:r w:rsidR="003A02F0" w:rsidRPr="003A02F0">
        <w:rPr>
          <w:rFonts w:ascii="Times New Roman" w:hAnsi="Times New Roman" w:cs="Times New Roman"/>
          <w:sz w:val="24"/>
        </w:rPr>
        <w:t xml:space="preserve">ttoni e le iscrizioni dicono: </w:t>
      </w:r>
      <w:r w:rsidR="003A02F0" w:rsidRPr="003A02F0">
        <w:rPr>
          <w:rFonts w:ascii="Times New Roman" w:hAnsi="Times New Roman" w:cs="Times New Roman"/>
          <w:i/>
          <w:sz w:val="24"/>
        </w:rPr>
        <w:t>«</w:t>
      </w:r>
      <w:r w:rsidRPr="003A02F0">
        <w:rPr>
          <w:rFonts w:ascii="Times New Roman" w:hAnsi="Times New Roman" w:cs="Times New Roman"/>
          <w:i/>
          <w:sz w:val="24"/>
        </w:rPr>
        <w:t xml:space="preserve">... gli schiavi che sua Maestà ha condotto per i lavori del tempio (di </w:t>
      </w:r>
      <w:proofErr w:type="spellStart"/>
      <w:r w:rsidRPr="003A02F0">
        <w:rPr>
          <w:rFonts w:ascii="Times New Roman" w:hAnsi="Times New Roman" w:cs="Times New Roman"/>
          <w:i/>
          <w:sz w:val="24"/>
        </w:rPr>
        <w:t>Amon</w:t>
      </w:r>
      <w:proofErr w:type="spellEnd"/>
      <w:r w:rsidRPr="003A02F0">
        <w:rPr>
          <w:rFonts w:ascii="Times New Roman" w:hAnsi="Times New Roman" w:cs="Times New Roman"/>
          <w:i/>
          <w:sz w:val="24"/>
        </w:rPr>
        <w:t xml:space="preserve"> a Tebe) ... fabbricanti i mattoni per costruire i magazzini (di </w:t>
      </w:r>
      <w:proofErr w:type="spellStart"/>
      <w:r w:rsidRPr="003A02F0">
        <w:rPr>
          <w:rFonts w:ascii="Times New Roman" w:hAnsi="Times New Roman" w:cs="Times New Roman"/>
          <w:i/>
          <w:sz w:val="24"/>
        </w:rPr>
        <w:t>Arnon</w:t>
      </w:r>
      <w:proofErr w:type="spellEnd"/>
      <w:r w:rsidRPr="003A02F0">
        <w:rPr>
          <w:rFonts w:ascii="Times New Roman" w:hAnsi="Times New Roman" w:cs="Times New Roman"/>
          <w:i/>
          <w:sz w:val="24"/>
        </w:rPr>
        <w:t>)</w:t>
      </w:r>
      <w:r w:rsidRPr="003A02F0">
        <w:rPr>
          <w:rFonts w:ascii="Times New Roman" w:hAnsi="Times New Roman" w:cs="Times New Roman"/>
          <w:sz w:val="24"/>
        </w:rPr>
        <w:t xml:space="preserve">», É noto che </w:t>
      </w:r>
      <w:proofErr w:type="spellStart"/>
      <w:r w:rsidRPr="003A02F0">
        <w:rPr>
          <w:rFonts w:ascii="Times New Roman" w:hAnsi="Times New Roman" w:cs="Times New Roman"/>
          <w:sz w:val="24"/>
        </w:rPr>
        <w:t>Amenofis</w:t>
      </w:r>
      <w:proofErr w:type="spellEnd"/>
      <w:r w:rsidRPr="003A02F0">
        <w:rPr>
          <w:rFonts w:ascii="Times New Roman" w:hAnsi="Times New Roman" w:cs="Times New Roman"/>
          <w:sz w:val="24"/>
        </w:rPr>
        <w:t xml:space="preserve"> Il (XV sec. </w:t>
      </w:r>
      <w:proofErr w:type="spellStart"/>
      <w:r w:rsidRPr="003A02F0">
        <w:rPr>
          <w:rFonts w:ascii="Times New Roman" w:hAnsi="Times New Roman" w:cs="Times New Roman"/>
          <w:sz w:val="24"/>
        </w:rPr>
        <w:t>a.C</w:t>
      </w:r>
      <w:proofErr w:type="spellEnd"/>
      <w:r w:rsidRPr="003A02F0">
        <w:rPr>
          <w:rFonts w:ascii="Times New Roman" w:hAnsi="Times New Roman" w:cs="Times New Roman"/>
          <w:sz w:val="24"/>
        </w:rPr>
        <w:t xml:space="preserve">) abbia condotto in Egitto dalla sua campagna in Asia oltre 3600 prigionieri di guerra. Due papiri del regno di </w:t>
      </w:r>
      <w:proofErr w:type="spellStart"/>
      <w:r w:rsidRPr="003A02F0">
        <w:rPr>
          <w:rFonts w:ascii="Times New Roman" w:hAnsi="Times New Roman" w:cs="Times New Roman"/>
          <w:sz w:val="24"/>
        </w:rPr>
        <w:t>Ramses</w:t>
      </w:r>
      <w:proofErr w:type="spellEnd"/>
      <w:r w:rsidRPr="003A02F0">
        <w:rPr>
          <w:rFonts w:ascii="Times New Roman" w:hAnsi="Times New Roman" w:cs="Times New Roman"/>
          <w:sz w:val="24"/>
        </w:rPr>
        <w:t xml:space="preserve"> Il (1304-1238 </w:t>
      </w:r>
      <w:proofErr w:type="spellStart"/>
      <w:r w:rsidRPr="003A02F0">
        <w:rPr>
          <w:rFonts w:ascii="Times New Roman" w:hAnsi="Times New Roman" w:cs="Times New Roman"/>
          <w:sz w:val="24"/>
        </w:rPr>
        <w:t>a.C</w:t>
      </w:r>
      <w:proofErr w:type="spellEnd"/>
      <w:r w:rsidRPr="003A02F0">
        <w:rPr>
          <w:rFonts w:ascii="Times New Roman" w:hAnsi="Times New Roman" w:cs="Times New Roman"/>
          <w:sz w:val="24"/>
        </w:rPr>
        <w:t>) prescrivono di distribuire le razioni ai soldati e agli schiavi che portano pietre per le costruzioni nella regione d</w:t>
      </w:r>
      <w:r w:rsidR="003A02F0" w:rsidRPr="003A02F0">
        <w:rPr>
          <w:rFonts w:ascii="Times New Roman" w:hAnsi="Times New Roman" w:cs="Times New Roman"/>
          <w:sz w:val="24"/>
        </w:rPr>
        <w:t xml:space="preserve">i Menfi. </w:t>
      </w:r>
      <w:proofErr w:type="spellStart"/>
      <w:r w:rsidR="003A02F0" w:rsidRPr="003A02F0">
        <w:rPr>
          <w:rFonts w:ascii="Times New Roman" w:hAnsi="Times New Roman" w:cs="Times New Roman"/>
          <w:sz w:val="24"/>
        </w:rPr>
        <w:t>Ramses</w:t>
      </w:r>
      <w:proofErr w:type="spellEnd"/>
      <w:r w:rsidR="003A02F0" w:rsidRPr="003A02F0">
        <w:rPr>
          <w:rFonts w:ascii="Times New Roman" w:hAnsi="Times New Roman" w:cs="Times New Roman"/>
          <w:sz w:val="24"/>
        </w:rPr>
        <w:t xml:space="preserve"> IV, nel 1150 a.C</w:t>
      </w:r>
      <w:r w:rsidRPr="003A02F0">
        <w:rPr>
          <w:rFonts w:ascii="Times New Roman" w:hAnsi="Times New Roman" w:cs="Times New Roman"/>
          <w:sz w:val="24"/>
        </w:rPr>
        <w:t xml:space="preserve">. circa, invierà una spedizione alle miniere dello </w:t>
      </w:r>
      <w:proofErr w:type="spellStart"/>
      <w:r w:rsidRPr="003A02F0">
        <w:rPr>
          <w:rFonts w:ascii="Times New Roman" w:hAnsi="Times New Roman" w:cs="Times New Roman"/>
          <w:sz w:val="24"/>
        </w:rPr>
        <w:t>Wady</w:t>
      </w:r>
      <w:proofErr w:type="spellEnd"/>
      <w:r w:rsidRPr="003A02F0">
        <w:rPr>
          <w:rFonts w:ascii="Times New Roman" w:hAnsi="Times New Roman" w:cs="Times New Roman"/>
          <w:sz w:val="24"/>
        </w:rPr>
        <w:t xml:space="preserve"> </w:t>
      </w:r>
      <w:proofErr w:type="spellStart"/>
      <w:r w:rsidRPr="003A02F0">
        <w:rPr>
          <w:rFonts w:ascii="Times New Roman" w:hAnsi="Times New Roman" w:cs="Times New Roman"/>
          <w:sz w:val="24"/>
        </w:rPr>
        <w:t>Hammamat</w:t>
      </w:r>
      <w:proofErr w:type="spellEnd"/>
      <w:r w:rsidRPr="003A02F0">
        <w:rPr>
          <w:rFonts w:ascii="Times New Roman" w:hAnsi="Times New Roman" w:cs="Times New Roman"/>
          <w:sz w:val="24"/>
        </w:rPr>
        <w:t xml:space="preserve"> composta da operai specializzati, 5000 soldati, 200 marinai, 800 schiavi e 2000 uomini dediti al servizio presso il tempio e la reggia. Quale Sinai?</w:t>
      </w:r>
    </w:p>
    <w:p w:rsidR="0076658C" w:rsidRDefault="0076658C" w:rsidP="00C172A3">
      <w:pPr>
        <w:spacing w:after="0" w:line="276" w:lineRule="auto"/>
        <w:jc w:val="both"/>
        <w:rPr>
          <w:rFonts w:ascii="Times New Roman" w:hAnsi="Times New Roman" w:cs="Times New Roman"/>
          <w:sz w:val="24"/>
        </w:rPr>
      </w:pPr>
      <w:r w:rsidRPr="003A02F0">
        <w:rPr>
          <w:rFonts w:ascii="Times New Roman" w:hAnsi="Times New Roman" w:cs="Times New Roman"/>
          <w:sz w:val="24"/>
        </w:rPr>
        <w:t xml:space="preserve">La tradizione che identifica il monte Sinai con il </w:t>
      </w:r>
      <w:proofErr w:type="spellStart"/>
      <w:r w:rsidRPr="003A02F0">
        <w:rPr>
          <w:rFonts w:ascii="Times New Roman" w:hAnsi="Times New Roman" w:cs="Times New Roman"/>
          <w:sz w:val="24"/>
        </w:rPr>
        <w:t>Gebel</w:t>
      </w:r>
      <w:proofErr w:type="spellEnd"/>
      <w:r w:rsidRPr="003A02F0">
        <w:rPr>
          <w:rFonts w:ascii="Times New Roman" w:hAnsi="Times New Roman" w:cs="Times New Roman"/>
          <w:sz w:val="24"/>
        </w:rPr>
        <w:t xml:space="preserve"> Musa, dove sorge il monastero di Santa Caterina, nella penisola tra il golfo di Suez e il golfo di Aqaba, è relativamente recente: risale a una tradizione cristiana del IV secolo d.C. - riconducibile alla pellegrina spagnola Egeria, che visita il luogo introno al 383 - ed è ignorata dall'ebraismo. Il </w:t>
      </w:r>
      <w:proofErr w:type="spellStart"/>
      <w:r w:rsidRPr="003A02F0">
        <w:rPr>
          <w:rFonts w:ascii="Times New Roman" w:hAnsi="Times New Roman" w:cs="Times New Roman"/>
          <w:sz w:val="24"/>
        </w:rPr>
        <w:t>Gebel</w:t>
      </w:r>
      <w:proofErr w:type="spellEnd"/>
      <w:r w:rsidRPr="003A02F0">
        <w:rPr>
          <w:rFonts w:ascii="Times New Roman" w:hAnsi="Times New Roman" w:cs="Times New Roman"/>
          <w:sz w:val="24"/>
        </w:rPr>
        <w:t xml:space="preserve"> Musa non è nemmeno la cima più alta della zona. Certa è una cosa: fin dal III secolo d.C., quest'area viene popolata da </w:t>
      </w:r>
      <w:proofErr w:type="spellStart"/>
      <w:r w:rsidRPr="003A02F0">
        <w:rPr>
          <w:rFonts w:ascii="Times New Roman" w:hAnsi="Times New Roman" w:cs="Times New Roman"/>
          <w:sz w:val="24"/>
        </w:rPr>
        <w:t>mnaci</w:t>
      </w:r>
      <w:proofErr w:type="spellEnd"/>
      <w:r w:rsidRPr="003A02F0">
        <w:rPr>
          <w:rFonts w:ascii="Times New Roman" w:hAnsi="Times New Roman" w:cs="Times New Roman"/>
          <w:sz w:val="24"/>
        </w:rPr>
        <w:t xml:space="preserve"> e a</w:t>
      </w:r>
      <w:r w:rsidR="003A02F0" w:rsidRPr="003A02F0">
        <w:rPr>
          <w:rFonts w:ascii="Times New Roman" w:hAnsi="Times New Roman" w:cs="Times New Roman"/>
          <w:sz w:val="24"/>
        </w:rPr>
        <w:t>nacoreti cristiani, che tra il I</w:t>
      </w:r>
      <w:r w:rsidRPr="003A02F0">
        <w:rPr>
          <w:rFonts w:ascii="Times New Roman" w:hAnsi="Times New Roman" w:cs="Times New Roman"/>
          <w:sz w:val="24"/>
        </w:rPr>
        <w:t xml:space="preserve">V e il VI secolo edificano una serie di eremi e monasteri nelle valli adiacenti al </w:t>
      </w:r>
      <w:proofErr w:type="spellStart"/>
      <w:r w:rsidRPr="003A02F0">
        <w:rPr>
          <w:rFonts w:ascii="Times New Roman" w:hAnsi="Times New Roman" w:cs="Times New Roman"/>
          <w:sz w:val="24"/>
        </w:rPr>
        <w:t>Gebel</w:t>
      </w:r>
      <w:proofErr w:type="spellEnd"/>
      <w:r w:rsidRPr="003A02F0">
        <w:rPr>
          <w:rFonts w:ascii="Times New Roman" w:hAnsi="Times New Roman" w:cs="Times New Roman"/>
          <w:sz w:val="24"/>
        </w:rPr>
        <w:t xml:space="preserve"> Musa. C'è chi propone altre localizzazioni: una tradizione documentata a partire dal VI secolo colloca la montagna 5 km più a nord, presso il </w:t>
      </w:r>
      <w:proofErr w:type="spellStart"/>
      <w:r w:rsidRPr="003A02F0">
        <w:rPr>
          <w:rFonts w:ascii="Times New Roman" w:hAnsi="Times New Roman" w:cs="Times New Roman"/>
          <w:sz w:val="24"/>
        </w:rPr>
        <w:t>Gebel</w:t>
      </w:r>
      <w:proofErr w:type="spellEnd"/>
      <w:r w:rsidRPr="003A02F0">
        <w:rPr>
          <w:rFonts w:ascii="Times New Roman" w:hAnsi="Times New Roman" w:cs="Times New Roman"/>
          <w:sz w:val="24"/>
        </w:rPr>
        <w:t xml:space="preserve"> Serbai; altri ancora - tra i quali Eusebio di </w:t>
      </w:r>
      <w:proofErr w:type="spellStart"/>
      <w:r w:rsidRPr="003A02F0">
        <w:rPr>
          <w:rFonts w:ascii="Times New Roman" w:hAnsi="Times New Roman" w:cs="Times New Roman"/>
          <w:sz w:val="24"/>
        </w:rPr>
        <w:t>Cesarèa</w:t>
      </w:r>
      <w:proofErr w:type="spellEnd"/>
      <w:r w:rsidRPr="003A02F0">
        <w:rPr>
          <w:rFonts w:ascii="Times New Roman" w:hAnsi="Times New Roman" w:cs="Times New Roman"/>
          <w:sz w:val="24"/>
        </w:rPr>
        <w:t xml:space="preserve"> e Giuseppe Flavio - suggeriscono la regione dell'Arabia settentrionale, dove la presenza di alcuni vulcani renderebbe più verosimile la descrizione dei fenomeni che accompagnano la teofania nel testo biblico. In Arabia il Sinai viene collocato anche dalla tradizione paolina di </w:t>
      </w:r>
      <w:proofErr w:type="spellStart"/>
      <w:r w:rsidRPr="003A02F0">
        <w:rPr>
          <w:rFonts w:ascii="Times New Roman" w:hAnsi="Times New Roman" w:cs="Times New Roman"/>
          <w:sz w:val="24"/>
        </w:rPr>
        <w:t>Gal</w:t>
      </w:r>
      <w:proofErr w:type="spellEnd"/>
      <w:r w:rsidRPr="003A02F0">
        <w:rPr>
          <w:rFonts w:ascii="Times New Roman" w:hAnsi="Times New Roman" w:cs="Times New Roman"/>
          <w:sz w:val="24"/>
        </w:rPr>
        <w:t xml:space="preserve"> 4,25. Il toponimo «Arabia», però, nell'antichità veniva applicato anche alla zona a sud-est della Palestina, penisola del Sinai compresa ... Una curiosità: nel 1980 un archeologo italo-israeliano, </w:t>
      </w:r>
      <w:proofErr w:type="spellStart"/>
      <w:r w:rsidRPr="003A02F0">
        <w:rPr>
          <w:rFonts w:ascii="Times New Roman" w:hAnsi="Times New Roman" w:cs="Times New Roman"/>
          <w:sz w:val="24"/>
        </w:rPr>
        <w:t>Emmnuel</w:t>
      </w:r>
      <w:proofErr w:type="spellEnd"/>
      <w:r w:rsidRPr="003A02F0">
        <w:rPr>
          <w:rFonts w:ascii="Times New Roman" w:hAnsi="Times New Roman" w:cs="Times New Roman"/>
          <w:sz w:val="24"/>
        </w:rPr>
        <w:t xml:space="preserve"> </w:t>
      </w:r>
      <w:proofErr w:type="spellStart"/>
      <w:r w:rsidRPr="003A02F0">
        <w:rPr>
          <w:rFonts w:ascii="Times New Roman" w:hAnsi="Times New Roman" w:cs="Times New Roman"/>
          <w:sz w:val="24"/>
        </w:rPr>
        <w:t>Anati</w:t>
      </w:r>
      <w:proofErr w:type="spellEnd"/>
      <w:r w:rsidRPr="003A02F0">
        <w:rPr>
          <w:rFonts w:ascii="Times New Roman" w:hAnsi="Times New Roman" w:cs="Times New Roman"/>
          <w:sz w:val="24"/>
        </w:rPr>
        <w:t xml:space="preserve">, ha ipotizzato la localizzazione del monte Sinai sul </w:t>
      </w:r>
      <w:proofErr w:type="spellStart"/>
      <w:r w:rsidRPr="003A02F0">
        <w:rPr>
          <w:rFonts w:ascii="Times New Roman" w:hAnsi="Times New Roman" w:cs="Times New Roman"/>
          <w:sz w:val="24"/>
        </w:rPr>
        <w:t>Har</w:t>
      </w:r>
      <w:proofErr w:type="spellEnd"/>
      <w:r w:rsidRPr="003A02F0">
        <w:rPr>
          <w:rFonts w:ascii="Times New Roman" w:hAnsi="Times New Roman" w:cs="Times New Roman"/>
          <w:sz w:val="24"/>
        </w:rPr>
        <w:t xml:space="preserve"> </w:t>
      </w:r>
      <w:proofErr w:type="spellStart"/>
      <w:r w:rsidRPr="003A02F0">
        <w:rPr>
          <w:rFonts w:ascii="Times New Roman" w:hAnsi="Times New Roman" w:cs="Times New Roman"/>
          <w:sz w:val="24"/>
        </w:rPr>
        <w:t>Karkom</w:t>
      </w:r>
      <w:proofErr w:type="spellEnd"/>
      <w:r w:rsidRPr="003A02F0">
        <w:rPr>
          <w:rFonts w:ascii="Times New Roman" w:hAnsi="Times New Roman" w:cs="Times New Roman"/>
          <w:sz w:val="24"/>
        </w:rPr>
        <w:t xml:space="preserve"> molto più a nord e fuori dalla penisola del Sinai. Su tale montagna egli trovò rest</w:t>
      </w:r>
      <w:r w:rsidR="003A02F0" w:rsidRPr="003A02F0">
        <w:rPr>
          <w:rFonts w:ascii="Times New Roman" w:hAnsi="Times New Roman" w:cs="Times New Roman"/>
          <w:sz w:val="24"/>
        </w:rPr>
        <w:t>i risalenti al III millennio a.C</w:t>
      </w:r>
      <w:r w:rsidRPr="003A02F0">
        <w:rPr>
          <w:rFonts w:ascii="Times New Roman" w:hAnsi="Times New Roman" w:cs="Times New Roman"/>
          <w:sz w:val="24"/>
        </w:rPr>
        <w:t xml:space="preserve">. e agli inizi del Il, tra cui iscrizioni e steli che testimonierebbero la presenza di un culto. Tale ipotesi continua ad essere considerata come poco plausibile in quanto stravolge la cronologia biblica e utilizza i testi sacri in modo soggettivo. Il mistero quindi rimane, alimentato dai diversi nomi con cui la montagna è chiamata nel testo biblico: Sinai, </w:t>
      </w:r>
      <w:proofErr w:type="spellStart"/>
      <w:r w:rsidRPr="003A02F0">
        <w:rPr>
          <w:rFonts w:ascii="Times New Roman" w:hAnsi="Times New Roman" w:cs="Times New Roman"/>
          <w:sz w:val="24"/>
        </w:rPr>
        <w:t>Oreb</w:t>
      </w:r>
      <w:proofErr w:type="spellEnd"/>
      <w:r w:rsidRPr="003A02F0">
        <w:rPr>
          <w:rFonts w:ascii="Times New Roman" w:hAnsi="Times New Roman" w:cs="Times New Roman"/>
          <w:sz w:val="24"/>
        </w:rPr>
        <w:t xml:space="preserve">, </w:t>
      </w:r>
      <w:proofErr w:type="spellStart"/>
      <w:r w:rsidRPr="003A02F0">
        <w:rPr>
          <w:rFonts w:ascii="Times New Roman" w:hAnsi="Times New Roman" w:cs="Times New Roman"/>
          <w:sz w:val="24"/>
        </w:rPr>
        <w:t>Paran</w:t>
      </w:r>
      <w:proofErr w:type="spellEnd"/>
      <w:r w:rsidR="003A02F0">
        <w:rPr>
          <w:rFonts w:ascii="Times New Roman" w:hAnsi="Times New Roman" w:cs="Times New Roman"/>
          <w:sz w:val="24"/>
        </w:rPr>
        <w:t>.</w:t>
      </w:r>
    </w:p>
    <w:tbl>
      <w:tblPr>
        <w:tblStyle w:val="Grigliatabella"/>
        <w:tblW w:w="0" w:type="auto"/>
        <w:tblLook w:val="04A0" w:firstRow="1" w:lastRow="0" w:firstColumn="1" w:lastColumn="0" w:noHBand="0" w:noVBand="1"/>
      </w:tblPr>
      <w:tblGrid>
        <w:gridCol w:w="11216"/>
      </w:tblGrid>
      <w:tr w:rsidR="003A02F0" w:rsidTr="003A02F0">
        <w:tc>
          <w:tcPr>
            <w:tcW w:w="11216" w:type="dxa"/>
          </w:tcPr>
          <w:p w:rsidR="003A02F0" w:rsidRPr="0095059F" w:rsidRDefault="003A02F0" w:rsidP="00C172A3">
            <w:pPr>
              <w:spacing w:line="276" w:lineRule="auto"/>
              <w:jc w:val="center"/>
              <w:rPr>
                <w:rFonts w:ascii="Times New Roman" w:hAnsi="Times New Roman" w:cs="Times New Roman"/>
                <w:b/>
                <w:i/>
                <w:sz w:val="24"/>
                <w:u w:val="single"/>
              </w:rPr>
            </w:pPr>
            <w:r w:rsidRPr="0095059F">
              <w:rPr>
                <w:rFonts w:ascii="Times New Roman" w:hAnsi="Times New Roman" w:cs="Times New Roman"/>
                <w:b/>
                <w:i/>
                <w:sz w:val="24"/>
                <w:u w:val="single"/>
              </w:rPr>
              <w:t>FLASH</w:t>
            </w:r>
          </w:p>
          <w:p w:rsidR="003A02F0" w:rsidRPr="003A02F0" w:rsidRDefault="003A02F0" w:rsidP="00C172A3">
            <w:pPr>
              <w:spacing w:line="276" w:lineRule="auto"/>
              <w:jc w:val="both"/>
              <w:rPr>
                <w:rFonts w:ascii="Times New Roman" w:hAnsi="Times New Roman" w:cs="Times New Roman"/>
                <w:b/>
                <w:sz w:val="24"/>
              </w:rPr>
            </w:pPr>
            <w:r w:rsidRPr="003A02F0">
              <w:rPr>
                <w:rFonts w:ascii="Times New Roman" w:hAnsi="Times New Roman" w:cs="Times New Roman"/>
                <w:b/>
                <w:sz w:val="24"/>
              </w:rPr>
              <w:t xml:space="preserve">La discesa degli Israeliti in Egitto </w:t>
            </w:r>
          </w:p>
          <w:p w:rsidR="003A02F0" w:rsidRDefault="003A02F0" w:rsidP="00C172A3">
            <w:pPr>
              <w:spacing w:line="276" w:lineRule="auto"/>
              <w:jc w:val="both"/>
              <w:rPr>
                <w:rFonts w:ascii="Times New Roman" w:hAnsi="Times New Roman" w:cs="Times New Roman"/>
                <w:sz w:val="24"/>
              </w:rPr>
            </w:pPr>
            <w:r>
              <w:rPr>
                <w:rFonts w:ascii="Times New Roman" w:hAnsi="Times New Roman" w:cs="Times New Roman"/>
                <w:sz w:val="24"/>
              </w:rPr>
              <w:t xml:space="preserve">L’episodio è narrato nei capitoli 42-47 della Genesi: dopo essere stato venduto da i fratelli per invidia (e ritenuto morto dal padre Giacobbe), Giuseppe </w:t>
            </w:r>
            <w:r w:rsidRPr="003A02F0">
              <w:rPr>
                <w:rFonts w:ascii="Times New Roman" w:hAnsi="Times New Roman" w:cs="Times New Roman"/>
                <w:sz w:val="24"/>
              </w:rPr>
              <w:t>si</w:t>
            </w:r>
            <w:r>
              <w:rPr>
                <w:rFonts w:ascii="Times New Roman" w:hAnsi="Times New Roman" w:cs="Times New Roman"/>
                <w:sz w:val="24"/>
              </w:rPr>
              <w:t xml:space="preserve"> ritrova in Egitto dove acquista potere fi</w:t>
            </w:r>
            <w:r w:rsidRPr="003A02F0">
              <w:rPr>
                <w:rFonts w:ascii="Times New Roman" w:hAnsi="Times New Roman" w:cs="Times New Roman"/>
                <w:sz w:val="24"/>
              </w:rPr>
              <w:t xml:space="preserve">no a diventare </w:t>
            </w:r>
            <w:proofErr w:type="spellStart"/>
            <w:r w:rsidRPr="0095059F">
              <w:rPr>
                <w:rFonts w:ascii="Times New Roman" w:hAnsi="Times New Roman" w:cs="Times New Roman"/>
                <w:i/>
                <w:sz w:val="24"/>
              </w:rPr>
              <w:t>vizir</w:t>
            </w:r>
            <w:proofErr w:type="spellEnd"/>
            <w:r w:rsidR="0095059F">
              <w:rPr>
                <w:rFonts w:ascii="Times New Roman" w:hAnsi="Times New Roman" w:cs="Times New Roman"/>
                <w:sz w:val="24"/>
              </w:rPr>
              <w:t xml:space="preserve"> del faraone; in occasione di una grave carestia, i figli di Giacobbe sono costretti a scendere dal faraone per acquistare grano. Qui si ritrovano con sorpre</w:t>
            </w:r>
            <w:r w:rsidRPr="003A02F0">
              <w:rPr>
                <w:rFonts w:ascii="Times New Roman" w:hAnsi="Times New Roman" w:cs="Times New Roman"/>
                <w:sz w:val="24"/>
              </w:rPr>
              <w:t>sa a tu per tu con i</w:t>
            </w:r>
            <w:r w:rsidR="0095059F">
              <w:rPr>
                <w:rFonts w:ascii="Times New Roman" w:hAnsi="Times New Roman" w:cs="Times New Roman"/>
                <w:sz w:val="24"/>
              </w:rPr>
              <w:t xml:space="preserve">l fratello incaricato proprio della distribuzione del grano. Giuseppe invita così Giacobbe e l'intera famiglia in Egitto mentre il faraone mette a disposizione la terra di </w:t>
            </w:r>
            <w:proofErr w:type="spellStart"/>
            <w:r w:rsidR="0095059F">
              <w:rPr>
                <w:rFonts w:ascii="Times New Roman" w:hAnsi="Times New Roman" w:cs="Times New Roman"/>
                <w:sz w:val="24"/>
              </w:rPr>
              <w:t>Gosen</w:t>
            </w:r>
            <w:proofErr w:type="spellEnd"/>
            <w:r w:rsidR="0095059F">
              <w:rPr>
                <w:rFonts w:ascii="Times New Roman" w:hAnsi="Times New Roman" w:cs="Times New Roman"/>
                <w:sz w:val="24"/>
              </w:rPr>
              <w:t xml:space="preserve"> (</w:t>
            </w:r>
            <w:proofErr w:type="spellStart"/>
            <w:r w:rsidR="0095059F">
              <w:rPr>
                <w:rFonts w:ascii="Times New Roman" w:hAnsi="Times New Roman" w:cs="Times New Roman"/>
                <w:sz w:val="24"/>
              </w:rPr>
              <w:t>Gen</w:t>
            </w:r>
            <w:proofErr w:type="spellEnd"/>
            <w:r w:rsidR="0095059F">
              <w:rPr>
                <w:rFonts w:ascii="Times New Roman" w:hAnsi="Times New Roman" w:cs="Times New Roman"/>
                <w:sz w:val="24"/>
              </w:rPr>
              <w:t xml:space="preserve"> 47,5-6), chiamata anche «terra di </w:t>
            </w:r>
            <w:proofErr w:type="spellStart"/>
            <w:r w:rsidR="0095059F">
              <w:rPr>
                <w:rFonts w:ascii="Times New Roman" w:hAnsi="Times New Roman" w:cs="Times New Roman"/>
                <w:sz w:val="24"/>
              </w:rPr>
              <w:t>Ramses</w:t>
            </w:r>
            <w:proofErr w:type="spellEnd"/>
            <w:r w:rsidR="0095059F">
              <w:rPr>
                <w:rFonts w:ascii="Times New Roman" w:hAnsi="Times New Roman" w:cs="Times New Roman"/>
                <w:sz w:val="24"/>
              </w:rPr>
              <w:t>» (47,11), proprio in riferimento al fa</w:t>
            </w:r>
            <w:r w:rsidRPr="003A02F0">
              <w:rPr>
                <w:rFonts w:ascii="Times New Roman" w:hAnsi="Times New Roman" w:cs="Times New Roman"/>
                <w:sz w:val="24"/>
              </w:rPr>
              <w:t xml:space="preserve">raone </w:t>
            </w:r>
            <w:proofErr w:type="spellStart"/>
            <w:r w:rsidRPr="003A02F0">
              <w:rPr>
                <w:rFonts w:ascii="Times New Roman" w:hAnsi="Times New Roman" w:cs="Times New Roman"/>
                <w:sz w:val="24"/>
              </w:rPr>
              <w:t>Ramses</w:t>
            </w:r>
            <w:proofErr w:type="spellEnd"/>
            <w:r w:rsidRPr="003A02F0">
              <w:rPr>
                <w:rFonts w:ascii="Times New Roman" w:hAnsi="Times New Roman" w:cs="Times New Roman"/>
                <w:sz w:val="24"/>
              </w:rPr>
              <w:t xml:space="preserve"> II.</w:t>
            </w:r>
          </w:p>
        </w:tc>
      </w:tr>
    </w:tbl>
    <w:p w:rsidR="003A02F0" w:rsidRDefault="003A02F0" w:rsidP="00C172A3">
      <w:pPr>
        <w:spacing w:after="0" w:line="276" w:lineRule="auto"/>
        <w:jc w:val="both"/>
        <w:rPr>
          <w:rFonts w:ascii="Times New Roman" w:hAnsi="Times New Roman" w:cs="Times New Roman"/>
          <w:sz w:val="24"/>
        </w:rPr>
      </w:pPr>
    </w:p>
    <w:tbl>
      <w:tblPr>
        <w:tblStyle w:val="Grigliatabella"/>
        <w:tblW w:w="0" w:type="auto"/>
        <w:tblLook w:val="04A0" w:firstRow="1" w:lastRow="0" w:firstColumn="1" w:lastColumn="0" w:noHBand="0" w:noVBand="1"/>
      </w:tblPr>
      <w:tblGrid>
        <w:gridCol w:w="11216"/>
      </w:tblGrid>
      <w:tr w:rsidR="0095059F" w:rsidTr="0095059F">
        <w:tc>
          <w:tcPr>
            <w:tcW w:w="11216" w:type="dxa"/>
          </w:tcPr>
          <w:p w:rsidR="0095059F" w:rsidRPr="0095059F" w:rsidRDefault="0095059F" w:rsidP="00C172A3">
            <w:pPr>
              <w:spacing w:line="276" w:lineRule="auto"/>
              <w:jc w:val="center"/>
              <w:rPr>
                <w:rFonts w:ascii="Times New Roman" w:hAnsi="Times New Roman" w:cs="Times New Roman"/>
                <w:b/>
                <w:i/>
                <w:sz w:val="24"/>
                <w:u w:val="single"/>
              </w:rPr>
            </w:pPr>
            <w:r w:rsidRPr="0095059F">
              <w:rPr>
                <w:rFonts w:ascii="Times New Roman" w:hAnsi="Times New Roman" w:cs="Times New Roman"/>
                <w:b/>
                <w:i/>
                <w:sz w:val="24"/>
                <w:u w:val="single"/>
              </w:rPr>
              <w:t>FLASH</w:t>
            </w:r>
          </w:p>
          <w:p w:rsidR="0095059F" w:rsidRPr="0095059F" w:rsidRDefault="0095059F" w:rsidP="00C172A3">
            <w:pPr>
              <w:spacing w:line="276" w:lineRule="auto"/>
              <w:jc w:val="both"/>
              <w:rPr>
                <w:rFonts w:ascii="Times New Roman" w:hAnsi="Times New Roman" w:cs="Times New Roman"/>
                <w:b/>
                <w:sz w:val="24"/>
              </w:rPr>
            </w:pPr>
            <w:r w:rsidRPr="0095059F">
              <w:rPr>
                <w:rFonts w:ascii="Times New Roman" w:hAnsi="Times New Roman" w:cs="Times New Roman"/>
                <w:b/>
                <w:sz w:val="24"/>
              </w:rPr>
              <w:t>La via dell'esodo</w:t>
            </w:r>
          </w:p>
          <w:p w:rsidR="0095059F" w:rsidRPr="0095059F" w:rsidRDefault="0095059F" w:rsidP="00C172A3">
            <w:pPr>
              <w:spacing w:line="276" w:lineRule="auto"/>
              <w:jc w:val="both"/>
              <w:rPr>
                <w:rFonts w:ascii="Times New Roman" w:hAnsi="Times New Roman" w:cs="Times New Roman"/>
                <w:sz w:val="24"/>
              </w:rPr>
            </w:pPr>
            <w:r>
              <w:rPr>
                <w:rFonts w:ascii="Times New Roman" w:hAnsi="Times New Roman" w:cs="Times New Roman"/>
                <w:sz w:val="24"/>
              </w:rPr>
              <w:t xml:space="preserve">La questione relativa all'itinerario seguito dagli Israeliti per l'esodo è tra le più complesse. Molte delle località citate dalla Bibbia restano sconosciute, altre </w:t>
            </w:r>
            <w:r w:rsidRPr="0095059F">
              <w:rPr>
                <w:rFonts w:ascii="Times New Roman" w:hAnsi="Times New Roman" w:cs="Times New Roman"/>
                <w:sz w:val="24"/>
              </w:rPr>
              <w:t>corrispondon</w:t>
            </w:r>
            <w:r>
              <w:rPr>
                <w:rFonts w:ascii="Times New Roman" w:hAnsi="Times New Roman" w:cs="Times New Roman"/>
                <w:sz w:val="24"/>
              </w:rPr>
              <w:t xml:space="preserve">o a itinerari contraddittori. Tutte le tradizioni menzionano il «mare» ma non permettono di identificarlo. Le divergenze si spiegano meglio se si ammettono diversi esodi: alcuni ebrei, espulsi al tempo della cacciata degli </w:t>
            </w:r>
            <w:proofErr w:type="spellStart"/>
            <w:r>
              <w:rPr>
                <w:rFonts w:ascii="Times New Roman" w:hAnsi="Times New Roman" w:cs="Times New Roman"/>
                <w:sz w:val="24"/>
              </w:rPr>
              <w:t>Hyksos</w:t>
            </w:r>
            <w:proofErr w:type="spellEnd"/>
            <w:r>
              <w:rPr>
                <w:rFonts w:ascii="Times New Roman" w:hAnsi="Times New Roman" w:cs="Times New Roman"/>
                <w:sz w:val="24"/>
              </w:rPr>
              <w:t>, avrebbe</w:t>
            </w:r>
            <w:r w:rsidRPr="0095059F">
              <w:rPr>
                <w:rFonts w:ascii="Times New Roman" w:hAnsi="Times New Roman" w:cs="Times New Roman"/>
                <w:sz w:val="24"/>
              </w:rPr>
              <w:t>ro seguito la via costie</w:t>
            </w:r>
            <w:r>
              <w:rPr>
                <w:rFonts w:ascii="Times New Roman" w:hAnsi="Times New Roman" w:cs="Times New Roman"/>
                <w:sz w:val="24"/>
              </w:rPr>
              <w:t xml:space="preserve">ra più a nord, controllata dagli Egiziani; altri fuggendo dai lavori forzati, avrebbero seguito più tardi la via del deserto </w:t>
            </w:r>
            <w:r w:rsidRPr="0095059F">
              <w:rPr>
                <w:rFonts w:ascii="Times New Roman" w:hAnsi="Times New Roman" w:cs="Times New Roman"/>
                <w:sz w:val="24"/>
              </w:rPr>
              <w:t xml:space="preserve">sotto la guida di Mosè. </w:t>
            </w:r>
          </w:p>
          <w:p w:rsidR="0095059F" w:rsidRDefault="0095059F" w:rsidP="00C172A3">
            <w:pPr>
              <w:spacing w:line="276" w:lineRule="auto"/>
              <w:jc w:val="both"/>
              <w:rPr>
                <w:rFonts w:ascii="Times New Roman" w:hAnsi="Times New Roman" w:cs="Times New Roman"/>
                <w:sz w:val="24"/>
              </w:rPr>
            </w:pPr>
            <w:r>
              <w:rPr>
                <w:rFonts w:ascii="Times New Roman" w:hAnsi="Times New Roman" w:cs="Times New Roman"/>
                <w:sz w:val="24"/>
              </w:rPr>
              <w:t xml:space="preserve">Le singole tappe di tale cammino restano in </w:t>
            </w:r>
            <w:r w:rsidRPr="0095059F">
              <w:rPr>
                <w:rFonts w:ascii="Times New Roman" w:hAnsi="Times New Roman" w:cs="Times New Roman"/>
                <w:sz w:val="24"/>
              </w:rPr>
              <w:t>ogni caso sconosciute.</w:t>
            </w:r>
          </w:p>
        </w:tc>
      </w:tr>
    </w:tbl>
    <w:p w:rsidR="0095059F" w:rsidRDefault="0095059F" w:rsidP="00C172A3">
      <w:pPr>
        <w:spacing w:after="0" w:line="276" w:lineRule="auto"/>
        <w:jc w:val="both"/>
        <w:rPr>
          <w:rFonts w:ascii="Times New Roman" w:hAnsi="Times New Roman" w:cs="Times New Roman"/>
          <w:sz w:val="24"/>
        </w:rPr>
      </w:pPr>
    </w:p>
    <w:p w:rsidR="00160B5E" w:rsidRDefault="00160B5E" w:rsidP="00C172A3">
      <w:pPr>
        <w:spacing w:after="0" w:line="276" w:lineRule="auto"/>
        <w:jc w:val="both"/>
        <w:rPr>
          <w:rFonts w:ascii="Times New Roman" w:hAnsi="Times New Roman" w:cs="Times New Roman"/>
          <w:sz w:val="24"/>
        </w:rPr>
      </w:pPr>
    </w:p>
    <w:p w:rsidR="00160B5E" w:rsidRDefault="00160B5E" w:rsidP="00C172A3">
      <w:pPr>
        <w:spacing w:after="0" w:line="276" w:lineRule="auto"/>
        <w:jc w:val="both"/>
        <w:rPr>
          <w:rFonts w:ascii="Times New Roman" w:hAnsi="Times New Roman" w:cs="Times New Roman"/>
          <w:sz w:val="24"/>
        </w:rPr>
      </w:pPr>
    </w:p>
    <w:tbl>
      <w:tblPr>
        <w:tblStyle w:val="Grigliatabella"/>
        <w:tblW w:w="0" w:type="auto"/>
        <w:tblLook w:val="04A0" w:firstRow="1" w:lastRow="0" w:firstColumn="1" w:lastColumn="0" w:noHBand="0" w:noVBand="1"/>
      </w:tblPr>
      <w:tblGrid>
        <w:gridCol w:w="11216"/>
      </w:tblGrid>
      <w:tr w:rsidR="0095059F" w:rsidRPr="00160B5E" w:rsidTr="0095059F">
        <w:tc>
          <w:tcPr>
            <w:tcW w:w="11216" w:type="dxa"/>
          </w:tcPr>
          <w:p w:rsidR="0095059F" w:rsidRPr="00160B5E" w:rsidRDefault="0095059F" w:rsidP="00C172A3">
            <w:pPr>
              <w:spacing w:line="276" w:lineRule="auto"/>
              <w:jc w:val="center"/>
              <w:rPr>
                <w:rFonts w:ascii="Times New Roman" w:hAnsi="Times New Roman" w:cs="Times New Roman"/>
                <w:b/>
                <w:i/>
                <w:sz w:val="24"/>
                <w:u w:val="single"/>
              </w:rPr>
            </w:pPr>
            <w:r w:rsidRPr="00160B5E">
              <w:rPr>
                <w:rFonts w:ascii="Times New Roman" w:hAnsi="Times New Roman" w:cs="Times New Roman"/>
                <w:b/>
                <w:i/>
                <w:sz w:val="24"/>
                <w:u w:val="single"/>
              </w:rPr>
              <w:t>FLASH</w:t>
            </w:r>
          </w:p>
          <w:p w:rsidR="0095059F" w:rsidRPr="00160B5E" w:rsidRDefault="0095059F" w:rsidP="00C172A3">
            <w:pPr>
              <w:spacing w:line="276" w:lineRule="auto"/>
              <w:jc w:val="both"/>
              <w:rPr>
                <w:rFonts w:ascii="Times New Roman" w:hAnsi="Times New Roman" w:cs="Times New Roman"/>
                <w:b/>
                <w:sz w:val="24"/>
              </w:rPr>
            </w:pPr>
            <w:r w:rsidRPr="00160B5E">
              <w:rPr>
                <w:rFonts w:ascii="Times New Roman" w:hAnsi="Times New Roman" w:cs="Times New Roman"/>
                <w:b/>
                <w:sz w:val="24"/>
              </w:rPr>
              <w:t>Mosè, l'umile intercessore</w:t>
            </w:r>
          </w:p>
          <w:p w:rsidR="0095059F" w:rsidRPr="00160B5E" w:rsidRDefault="0095059F" w:rsidP="00C172A3">
            <w:pPr>
              <w:spacing w:line="276" w:lineRule="auto"/>
              <w:jc w:val="both"/>
              <w:rPr>
                <w:rFonts w:ascii="Times New Roman" w:hAnsi="Times New Roman" w:cs="Times New Roman"/>
                <w:sz w:val="24"/>
              </w:rPr>
            </w:pPr>
            <w:r w:rsidRPr="00160B5E">
              <w:rPr>
                <w:rFonts w:ascii="Times New Roman" w:hAnsi="Times New Roman" w:cs="Times New Roman"/>
                <w:sz w:val="24"/>
              </w:rPr>
              <w:t xml:space="preserve">La più grande preghiera </w:t>
            </w:r>
            <w:proofErr w:type="spellStart"/>
            <w:r w:rsidRPr="00160B5E">
              <w:rPr>
                <w:rFonts w:ascii="Times New Roman" w:hAnsi="Times New Roman" w:cs="Times New Roman"/>
                <w:sz w:val="24"/>
              </w:rPr>
              <w:t>intercessoria</w:t>
            </w:r>
            <w:proofErr w:type="spellEnd"/>
            <w:r w:rsidRPr="00160B5E">
              <w:rPr>
                <w:rFonts w:ascii="Times New Roman" w:hAnsi="Times New Roman" w:cs="Times New Roman"/>
                <w:sz w:val="24"/>
              </w:rPr>
              <w:t xml:space="preserve"> di Mosè è quella che fa seguito alla trasgressione del «vitello d'oro» (Es 32,11-14.30-35; Dt9,7-19), quando, secondo una tradizione rabbinica basata su Es 32,32, Mosè giunge persino a offrire la propria vita in cambio di quella del popolo. Mosè passerà alla storia per due tratti forti della sua personalità: l'intimità </w:t>
            </w:r>
            <w:r w:rsidRPr="00160B5E">
              <w:rPr>
                <w:rFonts w:ascii="Times New Roman" w:hAnsi="Times New Roman" w:cs="Times New Roman"/>
                <w:sz w:val="24"/>
              </w:rPr>
              <w:lastRenderedPageBreak/>
              <w:t xml:space="preserve">con Dio (Es 19,9; 20,21; 24,18; Nm 12,7-8; </w:t>
            </w:r>
            <w:proofErr w:type="spellStart"/>
            <w:r w:rsidRPr="00160B5E">
              <w:rPr>
                <w:rFonts w:ascii="Times New Roman" w:hAnsi="Times New Roman" w:cs="Times New Roman"/>
                <w:sz w:val="24"/>
              </w:rPr>
              <w:t>Dt</w:t>
            </w:r>
            <w:proofErr w:type="spellEnd"/>
            <w:r w:rsidRPr="00160B5E">
              <w:rPr>
                <w:rFonts w:ascii="Times New Roman" w:hAnsi="Times New Roman" w:cs="Times New Roman"/>
                <w:sz w:val="24"/>
              </w:rPr>
              <w:t xml:space="preserve"> 34,10) e l'umiltà, che si esprime, per esempio, quando Dio concede il dono profeti co ad altri tra il popolo (Nm 11,24 - 29), senza che Mosè provi alcuna gelosia.</w:t>
            </w:r>
          </w:p>
        </w:tc>
      </w:tr>
    </w:tbl>
    <w:p w:rsidR="0095059F" w:rsidRPr="00160B5E" w:rsidRDefault="0095059F" w:rsidP="00C172A3">
      <w:pPr>
        <w:spacing w:after="0" w:line="276" w:lineRule="auto"/>
        <w:jc w:val="both"/>
        <w:rPr>
          <w:rFonts w:ascii="Times New Roman" w:hAnsi="Times New Roman" w:cs="Times New Roman"/>
          <w:sz w:val="24"/>
        </w:rPr>
      </w:pPr>
    </w:p>
    <w:tbl>
      <w:tblPr>
        <w:tblStyle w:val="Grigliatabella"/>
        <w:tblW w:w="0" w:type="auto"/>
        <w:tblLook w:val="04A0" w:firstRow="1" w:lastRow="0" w:firstColumn="1" w:lastColumn="0" w:noHBand="0" w:noVBand="1"/>
      </w:tblPr>
      <w:tblGrid>
        <w:gridCol w:w="11216"/>
      </w:tblGrid>
      <w:tr w:rsidR="0095059F" w:rsidRPr="00160B5E" w:rsidTr="0095059F">
        <w:tc>
          <w:tcPr>
            <w:tcW w:w="11216" w:type="dxa"/>
          </w:tcPr>
          <w:p w:rsidR="0095059F" w:rsidRPr="00160B5E" w:rsidRDefault="0095059F" w:rsidP="00C172A3">
            <w:pPr>
              <w:spacing w:line="276" w:lineRule="auto"/>
              <w:jc w:val="center"/>
              <w:rPr>
                <w:rFonts w:ascii="Times New Roman" w:hAnsi="Times New Roman" w:cs="Times New Roman"/>
                <w:b/>
                <w:i/>
                <w:sz w:val="24"/>
                <w:u w:val="single"/>
              </w:rPr>
            </w:pPr>
            <w:r w:rsidRPr="00160B5E">
              <w:rPr>
                <w:rFonts w:ascii="Times New Roman" w:hAnsi="Times New Roman" w:cs="Times New Roman"/>
                <w:b/>
                <w:i/>
                <w:sz w:val="24"/>
                <w:u w:val="single"/>
              </w:rPr>
              <w:t>FLASH</w:t>
            </w:r>
          </w:p>
          <w:p w:rsidR="0095059F" w:rsidRPr="00160B5E" w:rsidRDefault="0095059F" w:rsidP="00C172A3">
            <w:pPr>
              <w:spacing w:line="276" w:lineRule="auto"/>
              <w:jc w:val="both"/>
              <w:rPr>
                <w:rFonts w:ascii="Times New Roman" w:hAnsi="Times New Roman" w:cs="Times New Roman"/>
                <w:b/>
                <w:sz w:val="24"/>
              </w:rPr>
            </w:pPr>
            <w:r w:rsidRPr="00160B5E">
              <w:rPr>
                <w:rFonts w:ascii="Times New Roman" w:hAnsi="Times New Roman" w:cs="Times New Roman"/>
                <w:b/>
                <w:sz w:val="24"/>
              </w:rPr>
              <w:t>Il deserto</w:t>
            </w:r>
          </w:p>
          <w:p w:rsidR="0095059F" w:rsidRPr="00160B5E" w:rsidRDefault="0095059F" w:rsidP="00C172A3">
            <w:pPr>
              <w:spacing w:line="276" w:lineRule="auto"/>
              <w:jc w:val="both"/>
              <w:rPr>
                <w:rFonts w:ascii="Times New Roman" w:hAnsi="Times New Roman" w:cs="Times New Roman"/>
                <w:sz w:val="24"/>
              </w:rPr>
            </w:pPr>
            <w:r w:rsidRPr="00160B5E">
              <w:rPr>
                <w:rFonts w:ascii="Times New Roman" w:hAnsi="Times New Roman" w:cs="Times New Roman"/>
                <w:sz w:val="24"/>
              </w:rPr>
              <w:t>Nella tradizione biblica il deserto non è solo un luogo, ma anche un'esperienza teologica ed esistenziale: è lo spazio dell'attesa e dell'incontro, della prova e della crescita, del fidanzamento e del tradimento, della rivelazione e della tentazione, della crisi di fede e dell'esperienza della fiducia. Nella terra senza vita, Dio si presenta come l'unico punto di riferimento: manna, quaglie e acqua sono i segni della sua presenza amorosa e gratuita. All'uomo, tuttavia, è sempre lasciata la possibilità della ribellione e della mormorazione: Dio, in questo caso, si arresta e non impedisce nemmeno di essere ridotto alla «figura di un toro che mangia fieno» (</w:t>
            </w:r>
            <w:proofErr w:type="spellStart"/>
            <w:r w:rsidRPr="00160B5E">
              <w:rPr>
                <w:rFonts w:ascii="Times New Roman" w:hAnsi="Times New Roman" w:cs="Times New Roman"/>
                <w:sz w:val="24"/>
              </w:rPr>
              <w:t>Sal</w:t>
            </w:r>
            <w:proofErr w:type="spellEnd"/>
            <w:r w:rsidR="00F81DB1" w:rsidRPr="00160B5E">
              <w:rPr>
                <w:rFonts w:ascii="Times New Roman" w:hAnsi="Times New Roman" w:cs="Times New Roman"/>
                <w:sz w:val="24"/>
              </w:rPr>
              <w:t xml:space="preserve"> 1</w:t>
            </w:r>
            <w:r w:rsidRPr="00160B5E">
              <w:rPr>
                <w:rFonts w:ascii="Times New Roman" w:hAnsi="Times New Roman" w:cs="Times New Roman"/>
                <w:sz w:val="24"/>
              </w:rPr>
              <w:t>06,20)!</w:t>
            </w:r>
          </w:p>
        </w:tc>
      </w:tr>
    </w:tbl>
    <w:p w:rsidR="00160B5E" w:rsidRPr="003A02F0" w:rsidRDefault="00160B5E" w:rsidP="00C172A3">
      <w:pPr>
        <w:spacing w:after="0" w:line="276" w:lineRule="auto"/>
        <w:jc w:val="center"/>
        <w:rPr>
          <w:rFonts w:ascii="Times New Roman" w:hAnsi="Times New Roman" w:cs="Times New Roman"/>
          <w:sz w:val="24"/>
        </w:rPr>
      </w:pPr>
      <w:bookmarkStart w:id="0" w:name="_GoBack"/>
      <w:r>
        <w:rPr>
          <w:rFonts w:ascii="Times New Roman" w:hAnsi="Times New Roman" w:cs="Times New Roman"/>
          <w:noProof/>
          <w:sz w:val="24"/>
          <w:lang w:eastAsia="it-IT"/>
        </w:rPr>
        <w:drawing>
          <wp:inline distT="0" distB="0" distL="0" distR="0" wp14:anchorId="37C447EE">
            <wp:extent cx="7108373" cy="7776058"/>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17874" cy="7786452"/>
                    </a:xfrm>
                    <a:prstGeom prst="rect">
                      <a:avLst/>
                    </a:prstGeom>
                    <a:noFill/>
                  </pic:spPr>
                </pic:pic>
              </a:graphicData>
            </a:graphic>
          </wp:inline>
        </w:drawing>
      </w:r>
      <w:bookmarkEnd w:id="0"/>
    </w:p>
    <w:sectPr w:rsidR="00160B5E" w:rsidRPr="003A02F0" w:rsidSect="00736FFD">
      <w:footerReference w:type="default" r:id="rId8"/>
      <w:pgSz w:w="11906" w:h="16838"/>
      <w:pgMar w:top="284" w:right="340" w:bottom="284" w:left="340"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4E96" w:rsidRDefault="00A84E96" w:rsidP="00736FFD">
      <w:pPr>
        <w:spacing w:after="0" w:line="240" w:lineRule="auto"/>
      </w:pPr>
      <w:r>
        <w:separator/>
      </w:r>
    </w:p>
  </w:endnote>
  <w:endnote w:type="continuationSeparator" w:id="0">
    <w:p w:rsidR="00A84E96" w:rsidRDefault="00A84E96" w:rsidP="00736F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768486"/>
      <w:docPartObj>
        <w:docPartGallery w:val="Page Numbers (Bottom of Page)"/>
        <w:docPartUnique/>
      </w:docPartObj>
    </w:sdtPr>
    <w:sdtEndPr>
      <w:rPr>
        <w:rFonts w:ascii="Times New Roman" w:hAnsi="Times New Roman" w:cs="Times New Roman"/>
        <w:sz w:val="20"/>
      </w:rPr>
    </w:sdtEndPr>
    <w:sdtContent>
      <w:p w:rsidR="00736FFD" w:rsidRPr="00736FFD" w:rsidRDefault="00736FFD">
        <w:pPr>
          <w:pStyle w:val="Pidipagina"/>
          <w:jc w:val="center"/>
          <w:rPr>
            <w:rFonts w:ascii="Times New Roman" w:hAnsi="Times New Roman" w:cs="Times New Roman"/>
            <w:sz w:val="20"/>
          </w:rPr>
        </w:pPr>
        <w:r w:rsidRPr="00736FFD">
          <w:rPr>
            <w:rFonts w:ascii="Times New Roman" w:hAnsi="Times New Roman" w:cs="Times New Roman"/>
            <w:sz w:val="20"/>
          </w:rPr>
          <w:fldChar w:fldCharType="begin"/>
        </w:r>
        <w:r w:rsidRPr="00736FFD">
          <w:rPr>
            <w:rFonts w:ascii="Times New Roman" w:hAnsi="Times New Roman" w:cs="Times New Roman"/>
            <w:sz w:val="20"/>
          </w:rPr>
          <w:instrText>PAGE   \* MERGEFORMAT</w:instrText>
        </w:r>
        <w:r w:rsidRPr="00736FFD">
          <w:rPr>
            <w:rFonts w:ascii="Times New Roman" w:hAnsi="Times New Roman" w:cs="Times New Roman"/>
            <w:sz w:val="20"/>
          </w:rPr>
          <w:fldChar w:fldCharType="separate"/>
        </w:r>
        <w:r>
          <w:rPr>
            <w:rFonts w:ascii="Times New Roman" w:hAnsi="Times New Roman" w:cs="Times New Roman"/>
            <w:noProof/>
            <w:sz w:val="20"/>
          </w:rPr>
          <w:t>1</w:t>
        </w:r>
        <w:r w:rsidRPr="00736FFD">
          <w:rPr>
            <w:rFonts w:ascii="Times New Roman" w:hAnsi="Times New Roman" w:cs="Times New Roman"/>
            <w:sz w:val="20"/>
          </w:rPr>
          <w:fldChar w:fldCharType="end"/>
        </w:r>
      </w:p>
    </w:sdtContent>
  </w:sdt>
  <w:p w:rsidR="00736FFD" w:rsidRDefault="00736FFD">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4E96" w:rsidRDefault="00A84E96" w:rsidP="00736FFD">
      <w:pPr>
        <w:spacing w:after="0" w:line="240" w:lineRule="auto"/>
      </w:pPr>
      <w:r>
        <w:separator/>
      </w:r>
    </w:p>
  </w:footnote>
  <w:footnote w:type="continuationSeparator" w:id="0">
    <w:p w:rsidR="00A84E96" w:rsidRDefault="00A84E96" w:rsidP="00736FF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0D8170B"/>
    <w:multiLevelType w:val="hybridMultilevel"/>
    <w:tmpl w:val="6D62B74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C5C"/>
    <w:rsid w:val="000C5F9A"/>
    <w:rsid w:val="00160B5E"/>
    <w:rsid w:val="001F18A6"/>
    <w:rsid w:val="003A02F0"/>
    <w:rsid w:val="005F07D4"/>
    <w:rsid w:val="006C0C5C"/>
    <w:rsid w:val="00736FFD"/>
    <w:rsid w:val="0076658C"/>
    <w:rsid w:val="0095059F"/>
    <w:rsid w:val="009631B4"/>
    <w:rsid w:val="00A84E96"/>
    <w:rsid w:val="00C172A3"/>
    <w:rsid w:val="00F81DB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D13438-4481-4C10-93EE-92BF6E6B0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C0C5C"/>
    <w:pPr>
      <w:ind w:left="720"/>
      <w:contextualSpacing/>
    </w:pPr>
  </w:style>
  <w:style w:type="table" w:styleId="Grigliatabella">
    <w:name w:val="Table Grid"/>
    <w:basedOn w:val="Tabellanormale"/>
    <w:uiPriority w:val="39"/>
    <w:rsid w:val="003A02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736FF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36FFD"/>
  </w:style>
  <w:style w:type="paragraph" w:styleId="Pidipagina">
    <w:name w:val="footer"/>
    <w:basedOn w:val="Normale"/>
    <w:link w:val="PidipaginaCarattere"/>
    <w:uiPriority w:val="99"/>
    <w:unhideWhenUsed/>
    <w:rsid w:val="00736FF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36F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4</Pages>
  <Words>2337</Words>
  <Characters>13327</Characters>
  <Application>Microsoft Office Word</Application>
  <DocSecurity>0</DocSecurity>
  <Lines>111</Lines>
  <Paragraphs>31</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15633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Pasquale dello Iacono</dc:creator>
  <cp:keywords/>
  <dc:description/>
  <cp:lastModifiedBy>Pasquale dello Iacono</cp:lastModifiedBy>
  <cp:revision>4</cp:revision>
  <dcterms:created xsi:type="dcterms:W3CDTF">2015-11-25T19:12:00Z</dcterms:created>
  <dcterms:modified xsi:type="dcterms:W3CDTF">2015-12-03T10:11:00Z</dcterms:modified>
</cp:coreProperties>
</file>