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5BD6" w:rsidRPr="00CD48C8" w:rsidRDefault="00295BD6" w:rsidP="00295BD6">
      <w:pPr>
        <w:spacing w:after="0"/>
        <w:jc w:val="center"/>
        <w:rPr>
          <w:rFonts w:ascii="Times New Roman" w:hAnsi="Times New Roman" w:cs="Times New Roman"/>
          <w:b/>
          <w:sz w:val="26"/>
          <w:szCs w:val="26"/>
        </w:rPr>
      </w:pPr>
      <w:r w:rsidRPr="00CD48C8">
        <w:rPr>
          <w:rFonts w:ascii="Times New Roman" w:hAnsi="Times New Roman" w:cs="Times New Roman"/>
          <w:b/>
          <w:sz w:val="32"/>
          <w:szCs w:val="26"/>
        </w:rPr>
        <w:t>In</w:t>
      </w:r>
      <w:r w:rsidR="00CD48C8" w:rsidRPr="00CD48C8">
        <w:rPr>
          <w:rFonts w:ascii="Times New Roman" w:hAnsi="Times New Roman" w:cs="Times New Roman"/>
          <w:b/>
          <w:sz w:val="32"/>
          <w:szCs w:val="26"/>
        </w:rPr>
        <w:t>t</w:t>
      </w:r>
      <w:r w:rsidRPr="00CD48C8">
        <w:rPr>
          <w:rFonts w:ascii="Times New Roman" w:hAnsi="Times New Roman" w:cs="Times New Roman"/>
          <w:b/>
          <w:sz w:val="32"/>
          <w:szCs w:val="26"/>
        </w:rPr>
        <w:t>roduzione al Pentateuco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 xml:space="preserve">I cinque libri si chiamano </w:t>
      </w:r>
      <w:r w:rsidRPr="00CD48C8">
        <w:rPr>
          <w:rFonts w:ascii="Times New Roman" w:hAnsi="Times New Roman" w:cs="Times New Roman"/>
          <w:i/>
          <w:sz w:val="26"/>
          <w:szCs w:val="26"/>
        </w:rPr>
        <w:t>hămišâ humšê hattôrâ</w:t>
      </w:r>
      <w:r w:rsidRPr="00CD48C8">
        <w:rPr>
          <w:rFonts w:ascii="Times New Roman" w:hAnsi="Times New Roman" w:cs="Times New Roman"/>
          <w:sz w:val="26"/>
          <w:szCs w:val="26"/>
        </w:rPr>
        <w:t>, Cioè: i cinque quinti della Legge.</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 xml:space="preserve">Tale espressione ebraica è probabilmente all’origine dell’espressione greca </w:t>
      </w:r>
      <w:r w:rsidRPr="00CD48C8">
        <w:rPr>
          <w:rFonts w:ascii="Times New Roman" w:hAnsi="Times New Roman" w:cs="Times New Roman"/>
          <w:i/>
          <w:sz w:val="26"/>
          <w:szCs w:val="26"/>
        </w:rPr>
        <w:t>hè pentatheucos (biblos)</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 xml:space="preserve">Questa parola greca è composta da penta, che significa cinque e </w:t>
      </w:r>
      <w:r w:rsidRPr="00CD48C8">
        <w:rPr>
          <w:rFonts w:ascii="Times New Roman" w:hAnsi="Times New Roman" w:cs="Times New Roman"/>
          <w:i/>
          <w:sz w:val="26"/>
          <w:szCs w:val="26"/>
        </w:rPr>
        <w:t>theucos</w:t>
      </w:r>
      <w:r w:rsidRPr="00CD48C8">
        <w:rPr>
          <w:rFonts w:ascii="Times New Roman" w:hAnsi="Times New Roman" w:cs="Times New Roman"/>
          <w:sz w:val="26"/>
          <w:szCs w:val="26"/>
        </w:rPr>
        <w:t>, che significa strumento, arnese, utensile. Quest’ultima parola designava prima l’astuccio o contenitore cilindrico dei rotoli, poi per trasferimento di significato da una parola a un'altra in base a una relazione di contiguità spaziale, temporale o casuale, usando, per es., il nome del contenente per il contenuto, ha assunto il significato di rotolo. Quindi Pentateuco significa pertanto: «cinque libri» o, meglio, «cinque rotoli».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Quali sono questi primi cinque libri?</w:t>
      </w:r>
    </w:p>
    <w:p w:rsidR="009E4BFE" w:rsidRPr="00CD48C8" w:rsidRDefault="009E4BFE" w:rsidP="009E4BFE">
      <w:pPr>
        <w:spacing w:after="0"/>
        <w:jc w:val="both"/>
        <w:rPr>
          <w:rFonts w:ascii="Times New Roman" w:hAnsi="Times New Roman" w:cs="Times New Roman"/>
          <w:b/>
          <w:i/>
          <w:sz w:val="26"/>
          <w:szCs w:val="26"/>
        </w:rPr>
      </w:pPr>
      <w:r w:rsidRPr="00CD48C8">
        <w:rPr>
          <w:rFonts w:ascii="Times New Roman" w:hAnsi="Times New Roman" w:cs="Times New Roman"/>
          <w:b/>
          <w:i/>
          <w:sz w:val="26"/>
          <w:szCs w:val="26"/>
        </w:rPr>
        <w:t>Genesi</w:t>
      </w:r>
    </w:p>
    <w:p w:rsidR="009E4BFE" w:rsidRPr="00CD48C8" w:rsidRDefault="009E4BFE" w:rsidP="009E4BFE">
      <w:pPr>
        <w:spacing w:after="0"/>
        <w:jc w:val="both"/>
        <w:rPr>
          <w:rFonts w:ascii="Times New Roman" w:hAnsi="Times New Roman" w:cs="Times New Roman"/>
          <w:b/>
          <w:i/>
          <w:sz w:val="26"/>
          <w:szCs w:val="26"/>
        </w:rPr>
      </w:pPr>
      <w:r w:rsidRPr="00CD48C8">
        <w:rPr>
          <w:rFonts w:ascii="Times New Roman" w:hAnsi="Times New Roman" w:cs="Times New Roman"/>
          <w:b/>
          <w:i/>
          <w:sz w:val="26"/>
          <w:szCs w:val="26"/>
        </w:rPr>
        <w:t>Esodo</w:t>
      </w:r>
    </w:p>
    <w:p w:rsidR="009E4BFE" w:rsidRPr="00CD48C8" w:rsidRDefault="009E4BFE" w:rsidP="009E4BFE">
      <w:pPr>
        <w:spacing w:after="0"/>
        <w:jc w:val="both"/>
        <w:rPr>
          <w:rFonts w:ascii="Times New Roman" w:hAnsi="Times New Roman" w:cs="Times New Roman"/>
          <w:b/>
          <w:i/>
          <w:sz w:val="26"/>
          <w:szCs w:val="26"/>
        </w:rPr>
      </w:pPr>
      <w:r w:rsidRPr="00CD48C8">
        <w:rPr>
          <w:rFonts w:ascii="Times New Roman" w:hAnsi="Times New Roman" w:cs="Times New Roman"/>
          <w:b/>
          <w:i/>
          <w:sz w:val="26"/>
          <w:szCs w:val="26"/>
        </w:rPr>
        <w:t>Levitico</w:t>
      </w:r>
    </w:p>
    <w:p w:rsidR="009E4BFE" w:rsidRPr="00CD48C8" w:rsidRDefault="009E4BFE" w:rsidP="009E4BFE">
      <w:pPr>
        <w:spacing w:after="0"/>
        <w:jc w:val="both"/>
        <w:rPr>
          <w:rFonts w:ascii="Times New Roman" w:hAnsi="Times New Roman" w:cs="Times New Roman"/>
          <w:b/>
          <w:i/>
          <w:sz w:val="26"/>
          <w:szCs w:val="26"/>
        </w:rPr>
      </w:pPr>
      <w:r w:rsidRPr="00CD48C8">
        <w:rPr>
          <w:rFonts w:ascii="Times New Roman" w:hAnsi="Times New Roman" w:cs="Times New Roman"/>
          <w:b/>
          <w:i/>
          <w:sz w:val="26"/>
          <w:szCs w:val="26"/>
        </w:rPr>
        <w:t>Numeri</w:t>
      </w:r>
    </w:p>
    <w:p w:rsidR="009E4BFE" w:rsidRPr="00CD48C8" w:rsidRDefault="009E4BFE" w:rsidP="009E4BFE">
      <w:pPr>
        <w:spacing w:after="0"/>
        <w:jc w:val="both"/>
        <w:rPr>
          <w:rFonts w:ascii="Times New Roman" w:hAnsi="Times New Roman" w:cs="Times New Roman"/>
          <w:b/>
          <w:i/>
          <w:sz w:val="26"/>
          <w:szCs w:val="26"/>
        </w:rPr>
      </w:pPr>
      <w:r w:rsidRPr="00CD48C8">
        <w:rPr>
          <w:rFonts w:ascii="Times New Roman" w:hAnsi="Times New Roman" w:cs="Times New Roman"/>
          <w:b/>
          <w:i/>
          <w:sz w:val="26"/>
          <w:szCs w:val="26"/>
        </w:rPr>
        <w:t>Deuteronomio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Questi nomi vengono dalla traduzione greca, mentre in ebraico corrispondono alla prima parola importante dello stesso libro.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b/>
          <w:i/>
          <w:sz w:val="26"/>
          <w:szCs w:val="26"/>
        </w:rPr>
        <w:t>berē’šît</w:t>
      </w:r>
      <w:r w:rsidRPr="00CD48C8">
        <w:rPr>
          <w:rFonts w:ascii="Times New Roman" w:hAnsi="Times New Roman" w:cs="Times New Roman"/>
          <w:sz w:val="26"/>
          <w:szCs w:val="26"/>
        </w:rPr>
        <w:t xml:space="preserve"> («All’inizio» - Genesi)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b/>
          <w:i/>
          <w:sz w:val="26"/>
          <w:szCs w:val="26"/>
        </w:rPr>
        <w:t>šemôt</w:t>
      </w:r>
      <w:r w:rsidRPr="00CD48C8">
        <w:rPr>
          <w:rFonts w:ascii="Times New Roman" w:hAnsi="Times New Roman" w:cs="Times New Roman"/>
          <w:sz w:val="26"/>
          <w:szCs w:val="26"/>
        </w:rPr>
        <w:t xml:space="preserve"> («I nomi» - Esodo)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b/>
          <w:i/>
          <w:sz w:val="26"/>
          <w:szCs w:val="26"/>
        </w:rPr>
        <w:t>wayyqrā</w:t>
      </w:r>
      <w:r w:rsidRPr="00CD48C8">
        <w:rPr>
          <w:rFonts w:ascii="Times New Roman" w:hAnsi="Times New Roman" w:cs="Times New Roman"/>
          <w:sz w:val="26"/>
          <w:szCs w:val="26"/>
        </w:rPr>
        <w:t xml:space="preserve"> («E chiamò» - Levitico)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b/>
          <w:i/>
          <w:sz w:val="26"/>
          <w:szCs w:val="26"/>
        </w:rPr>
        <w:t>bemidbār</w:t>
      </w:r>
      <w:r w:rsidRPr="00CD48C8">
        <w:rPr>
          <w:rFonts w:ascii="Times New Roman" w:hAnsi="Times New Roman" w:cs="Times New Roman"/>
          <w:sz w:val="26"/>
          <w:szCs w:val="26"/>
        </w:rPr>
        <w:t xml:space="preserve"> ( «Nel deserto [del Sinai]» - Numeri)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b/>
          <w:i/>
          <w:sz w:val="26"/>
          <w:szCs w:val="26"/>
        </w:rPr>
        <w:t>debārîm</w:t>
      </w:r>
      <w:r w:rsidRPr="00CD48C8">
        <w:rPr>
          <w:rFonts w:ascii="Times New Roman" w:hAnsi="Times New Roman" w:cs="Times New Roman"/>
          <w:sz w:val="26"/>
          <w:szCs w:val="26"/>
        </w:rPr>
        <w:t xml:space="preserve"> («Le parole» - Deuteronomio)</w:t>
      </w:r>
    </w:p>
    <w:p w:rsidR="009E4BFE" w:rsidRPr="00CD48C8" w:rsidRDefault="000A590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P</w:t>
      </w:r>
      <w:r w:rsidR="009E4BFE" w:rsidRPr="00CD48C8">
        <w:rPr>
          <w:rFonts w:ascii="Times New Roman" w:hAnsi="Times New Roman" w:cs="Times New Roman"/>
          <w:sz w:val="26"/>
          <w:szCs w:val="26"/>
        </w:rPr>
        <w:t>er quanto riguarda il Pentateuco, esiste un testo fondamentale che funge da spartiacque per separare i 5 primi libri della Bibbia da quelli che seguono. Tale testo è Dt 34,10-12. Esso afferma tre cose importanti</w:t>
      </w:r>
      <w:r w:rsidRPr="00CD48C8">
        <w:rPr>
          <w:rFonts w:ascii="Times New Roman" w:hAnsi="Times New Roman" w:cs="Times New Roman"/>
          <w:sz w:val="26"/>
          <w:szCs w:val="26"/>
        </w:rPr>
        <w:t>:</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1.</w:t>
      </w:r>
      <w:r w:rsidRPr="00CD48C8">
        <w:rPr>
          <w:rFonts w:ascii="Times New Roman" w:hAnsi="Times New Roman" w:cs="Times New Roman"/>
          <w:sz w:val="26"/>
          <w:szCs w:val="26"/>
        </w:rPr>
        <w:tab/>
        <w:t>Mosè è più grande di tutti gli altri profeti. Perciò la «legge di Mosè» è superiore a tutte le altre forme di rivelazione. La sua TÔRÂ è imparagonabile, insuperabile e</w:t>
      </w:r>
      <w:r w:rsidR="00295BD6" w:rsidRPr="00CD48C8">
        <w:rPr>
          <w:rFonts w:ascii="Times New Roman" w:hAnsi="Times New Roman" w:cs="Times New Roman"/>
          <w:sz w:val="26"/>
          <w:szCs w:val="26"/>
        </w:rPr>
        <w:t xml:space="preserve"> </w:t>
      </w:r>
      <w:r w:rsidRPr="00CD48C8">
        <w:rPr>
          <w:rFonts w:ascii="Times New Roman" w:hAnsi="Times New Roman" w:cs="Times New Roman"/>
          <w:sz w:val="26"/>
          <w:szCs w:val="26"/>
        </w:rPr>
        <w:t>rimarrà sempre valida. In altre parole, la rivelazione che risale a Mosè è superiore a tutte le altre rivelazioni che risalgono ai profeti. Perciò, nel canone, Mosè precede i «profeti anteriori» (Gs – 2 Re) e i «profeti posteriori» (Is – Ml). Egli precede anche gli scritti o libri sapienziali. L’autorità del pentateuco dipende in fin dei conti dall’autorità superiore di Mosè.</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2.</w:t>
      </w:r>
      <w:r w:rsidRPr="00CD48C8">
        <w:rPr>
          <w:rFonts w:ascii="Times New Roman" w:hAnsi="Times New Roman" w:cs="Times New Roman"/>
          <w:sz w:val="26"/>
          <w:szCs w:val="26"/>
        </w:rPr>
        <w:tab/>
        <w:t>La superiorità di Mosè deriva dalla superiorità della sua relazione con JHWH (vedi Es 33,11; Nm 12,6-8). JHWH e Mosè erano in contatto diretto, senza intermediari o «schermi» (come nei sogni e nelle visioni)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3.</w:t>
      </w:r>
      <w:r w:rsidRPr="00CD48C8">
        <w:rPr>
          <w:rFonts w:ascii="Times New Roman" w:hAnsi="Times New Roman" w:cs="Times New Roman"/>
          <w:sz w:val="26"/>
          <w:szCs w:val="26"/>
        </w:rPr>
        <w:tab/>
        <w:t>L’esodo è l’evento fondamentale della storia d’Israele. Nessun altro evento può essere paragonato con esso. La fondazione di Israele risale quindi a Mosè, e non a Davide o a Salomone. Israele è infatti più antico della monarchia e addirittura della conquista della terra promessa.</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 xml:space="preserve">Dopo aver parlato del Pentateuco, occupiamoci della struttura di questo corpo letterario. Sappiamo </w:t>
      </w:r>
      <w:r w:rsidR="000A590E" w:rsidRPr="00CD48C8">
        <w:rPr>
          <w:rFonts w:ascii="Times New Roman" w:hAnsi="Times New Roman" w:cs="Times New Roman"/>
          <w:sz w:val="26"/>
          <w:szCs w:val="26"/>
        </w:rPr>
        <w:t xml:space="preserve">che è composto da cinque libri: </w:t>
      </w:r>
      <w:r w:rsidRPr="00CD48C8">
        <w:rPr>
          <w:rFonts w:ascii="Times New Roman" w:hAnsi="Times New Roman" w:cs="Times New Roman"/>
          <w:sz w:val="26"/>
          <w:szCs w:val="26"/>
        </w:rPr>
        <w:t>è una semplice giustapposizione oppure questa divisione ha un qualche significato sia per il Pentateuco che per i libri stessi?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La loro posizione è indifferente?</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Verifichiamo se una risposta è possibile rintracciando le ragioni materiali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Il pentateuco è composto da libri di diversa lunghezza che formano complessivamente 5845 versetti. Si tratta, quindi, di un’opera abbastanza poderosa.</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Il più breve è il Levitico (composto da 25 capitoli e 859 versetti), mentre il più lungo è il libro della Genesi (50 capitoli, 1534 versetti); Esodo (40 capitoli, 1209 versetti) e Numeri (36 capitoli, 1288 versetti) sono più o meno simili, mentre il Deuteronomio è appena più lungo del Levitico (34 capitoli, 995 versetti).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Difficilmente sarebbe stato possibile trascriverlo tutto su un unico rotolo che avrebbe dovuto essere lungo circa 33 metri. Un rotolo così lungo non era per niente pratico per la lettura sinagogale.</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Il Pentateuco, quindi, doveva essere a sua volta diviso in cinque diversi rotoli, corrispondenti ai cinque libri, la cui grandezza variava dai 6 ai 7 metri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 xml:space="preserve">Considerazioni </w:t>
      </w:r>
      <w:r w:rsidR="000A590E" w:rsidRPr="00CD48C8">
        <w:rPr>
          <w:rFonts w:ascii="Times New Roman" w:hAnsi="Times New Roman" w:cs="Times New Roman"/>
          <w:sz w:val="26"/>
          <w:szCs w:val="26"/>
        </w:rPr>
        <w:t>numeriche</w:t>
      </w:r>
      <w:r w:rsidRPr="00CD48C8">
        <w:rPr>
          <w:rFonts w:ascii="Times New Roman" w:hAnsi="Times New Roman" w:cs="Times New Roman"/>
          <w:sz w:val="26"/>
          <w:szCs w:val="26"/>
        </w:rPr>
        <w:t xml:space="preserve"> a parte, anche la divisione nei vari libri sembra non seguire alcun criterio contenutistico coerente. Dal punto di vista contenutistico, quindi, la divisione tra i libri è alquanto arbitraria</w:t>
      </w:r>
      <w:r w:rsidR="000A590E" w:rsidRPr="00CD48C8">
        <w:rPr>
          <w:rFonts w:ascii="Times New Roman" w:hAnsi="Times New Roman" w:cs="Times New Roman"/>
          <w:sz w:val="26"/>
          <w:szCs w:val="26"/>
        </w:rPr>
        <w:t>.</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lastRenderedPageBreak/>
        <w:t>Giacobbe e la sua famiglia, infatti, si stabiliscono in Egitto in Gn</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46, ma il libro dell’Esodo inizia più tardi.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La pericope del Sinai inizia in Es</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19 e termina soltanto in Nm</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10,10, estendendosi per tre libri, ma non rispettando alcuna divisione particolare.</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Israele arriva alle soglie della «terra promessa» già in Nm</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21,20 e tuttavia il libro successivo, il Dt, non sembra coincidere con questo momento…</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Il libro della Genesi inizia con la creazione del mondo con la famosa formula iniziale (</w:t>
      </w:r>
      <w:r w:rsidRPr="00CD48C8">
        <w:rPr>
          <w:rFonts w:ascii="Times New Roman" w:hAnsi="Times New Roman" w:cs="Times New Roman"/>
          <w:i/>
          <w:sz w:val="26"/>
          <w:szCs w:val="26"/>
        </w:rPr>
        <w:t>berē’šît</w:t>
      </w:r>
      <w:r w:rsidR="000A590E" w:rsidRPr="00CD48C8">
        <w:rPr>
          <w:rFonts w:ascii="Times New Roman" w:hAnsi="Times New Roman" w:cs="Times New Roman"/>
          <w:i/>
          <w:sz w:val="26"/>
          <w:szCs w:val="26"/>
        </w:rPr>
        <w:t xml:space="preserve"> </w:t>
      </w:r>
      <w:r w:rsidRPr="00CD48C8">
        <w:rPr>
          <w:rFonts w:ascii="Times New Roman" w:hAnsi="Times New Roman" w:cs="Times New Roman"/>
          <w:i/>
          <w:sz w:val="26"/>
          <w:szCs w:val="26"/>
        </w:rPr>
        <w:t>bārā’ ’aelōhîm</w:t>
      </w:r>
      <w:r w:rsidRPr="00CD48C8">
        <w:rPr>
          <w:rFonts w:ascii="Times New Roman" w:hAnsi="Times New Roman" w:cs="Times New Roman"/>
          <w:sz w:val="26"/>
          <w:szCs w:val="26"/>
        </w:rPr>
        <w:t>) e finisce con la morte di Giacobbe e di Giuseppe, concludendo in questo modo l’epoca patriarcale e segnando il passaggio della storia di Israele da storia di una famiglia a storia di un popolo, diventando un «sommario prolettico del racconto ulteriore» che inizia con Esodo.</w:t>
      </w:r>
    </w:p>
    <w:p w:rsidR="009E4BFE" w:rsidRPr="00CD48C8" w:rsidRDefault="000A590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L</w:t>
      </w:r>
      <w:r w:rsidR="009E4BFE" w:rsidRPr="00CD48C8">
        <w:rPr>
          <w:rFonts w:ascii="Times New Roman" w:hAnsi="Times New Roman" w:cs="Times New Roman"/>
          <w:sz w:val="26"/>
          <w:szCs w:val="26"/>
        </w:rPr>
        <w:t>’Esodo si riallaccia a Genesi con un piccolo riassunto della storia di Giuseppe (Es. 1,1-7) creando in questo modo una cerniera tra la «storia dei patriarchi» alla «storia del popolo» e segnando il passaggio da un periodo all’altro della storia di Israele. La conclusione del libro (40,34-38) descrive il momento in cui la «gloria di YHWH» riempie la «tenda dell’incontro», indicando che YHWH abita con il suo popolo, lo accompagna e lo guida.</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Proprio la tenda dell’incontro segna l’inizio del libro del Levitico: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«E YHWH chiamò Mosè e gli parlò nella tenda dell’incontro dicendo…».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C’è, quindi, una novità nella modalità comunicativa: Dio non parla più a Mosè dalla vetta del Sinai (Es19,3), ma nella tenda dell’incontro</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Anche l’introduzione del libro dei Numeri recita: «YHWH</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parlò a Mosè nel deserto del Sinai nella tenda dell’incontro nel primo giorno del secondo mese, il secondo anno dopo la loro uscita dalla terra d’Egitto, dicendo…».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Dal punto di vista cronologico, allora, siamo ancora nel deserto del Sinai e YHWH</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continua a parlare dalla tenda dell’incontro (Es40,34-35; Lv1,1).</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La conclusione richiama quella di Lv26,46 e 27,34: «Quelli sono gli ordini e i giudizi che YHWH diede per mano di Mosè ai figli di Israele nelle steppe di Moab, di fronte al Giordano di Gerico» (Nm36,13), equiparando le leggi date nelle steppe di Moab</w:t>
      </w:r>
      <w:r w:rsidR="00CD48C8">
        <w:rPr>
          <w:rFonts w:ascii="Times New Roman" w:hAnsi="Times New Roman" w:cs="Times New Roman"/>
          <w:sz w:val="26"/>
          <w:szCs w:val="26"/>
        </w:rPr>
        <w:t xml:space="preserve"> </w:t>
      </w:r>
      <w:r w:rsidRPr="00CD48C8">
        <w:rPr>
          <w:rFonts w:ascii="Times New Roman" w:hAnsi="Times New Roman" w:cs="Times New Roman"/>
          <w:sz w:val="26"/>
          <w:szCs w:val="26"/>
        </w:rPr>
        <w:t>a quelle date al Sinai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il Deuteronomio ha la sua cornice: inizia, come Numeri, con un’introduzione che indica il posto e il luogo dell’azione: «Queste sono le parole che Mosè pronunciò davanti a Israele al di là del Giordano, nel deserto […] nell’anno quaranta, mese undicesimo, il primo del mese» (Dt</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1,1-3). La morte di Mosè segna la fine sia del libro che dell’intero Pentateuco</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In conclusione possiamo dire che i primi cinque libri del Pentateuco sono chiaramente divisi attraverso alcuni segnali linguistici e strutturali. Nel complesso, essi formano una specie di vita di Mosè al servizio di YHWH</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e di Israele.</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Le introduzioni di Levitico e Numeri e la conclusione di Deuteronomio mettono in risalto il carattere normativo di questi libri, un carattere normativo che discende dalla figura di Mosè, mediatore specia</w:t>
      </w:r>
      <w:r w:rsidR="000A590E" w:rsidRPr="00CD48C8">
        <w:rPr>
          <w:rFonts w:ascii="Times New Roman" w:hAnsi="Times New Roman" w:cs="Times New Roman"/>
          <w:sz w:val="26"/>
          <w:szCs w:val="26"/>
        </w:rPr>
        <w:t>le tra Dio e gli uomini, e dall</w:t>
      </w:r>
      <w:r w:rsidRPr="00CD48C8">
        <w:rPr>
          <w:rFonts w:ascii="Times New Roman" w:hAnsi="Times New Roman" w:cs="Times New Roman"/>
          <w:sz w:val="26"/>
          <w:szCs w:val="26"/>
        </w:rPr>
        <w:t>’importanza dell’alleanza del Sinai e delle steppe di Moab</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come luoghi teologici in cui si è stabilita l’alleanza tra Dio e il suo popolo.</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0A590E">
      <w:pPr>
        <w:spacing w:after="0"/>
        <w:jc w:val="center"/>
        <w:rPr>
          <w:rFonts w:ascii="Times New Roman" w:hAnsi="Times New Roman" w:cs="Times New Roman"/>
          <w:b/>
          <w:i/>
          <w:sz w:val="26"/>
          <w:szCs w:val="26"/>
        </w:rPr>
      </w:pPr>
      <w:r w:rsidRPr="00CD48C8">
        <w:rPr>
          <w:rFonts w:ascii="Times New Roman" w:hAnsi="Times New Roman" w:cs="Times New Roman"/>
          <w:b/>
          <w:i/>
          <w:sz w:val="32"/>
          <w:szCs w:val="26"/>
        </w:rPr>
        <w:t>Libro della Genesi –</w:t>
      </w:r>
      <w:r w:rsidR="000A590E" w:rsidRPr="00CD48C8">
        <w:rPr>
          <w:rFonts w:ascii="Times New Roman" w:hAnsi="Times New Roman" w:cs="Times New Roman"/>
          <w:b/>
          <w:i/>
          <w:sz w:val="32"/>
          <w:szCs w:val="26"/>
        </w:rPr>
        <w:t xml:space="preserve"> </w:t>
      </w:r>
      <w:r w:rsidRPr="00CD48C8">
        <w:rPr>
          <w:rFonts w:ascii="Times New Roman" w:hAnsi="Times New Roman" w:cs="Times New Roman"/>
          <w:b/>
          <w:i/>
          <w:sz w:val="32"/>
          <w:szCs w:val="26"/>
        </w:rPr>
        <w:t>tôledôt</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 xml:space="preserve">La maggioranza degli esegeti riconosce alla formula delle </w:t>
      </w:r>
      <w:r w:rsidRPr="00CD48C8">
        <w:rPr>
          <w:rFonts w:ascii="Times New Roman" w:hAnsi="Times New Roman" w:cs="Times New Roman"/>
          <w:b/>
          <w:i/>
          <w:sz w:val="28"/>
          <w:szCs w:val="26"/>
        </w:rPr>
        <w:t>tôledôt</w:t>
      </w:r>
      <w:r w:rsidR="000A590E" w:rsidRPr="00CD48C8">
        <w:rPr>
          <w:rFonts w:ascii="Times New Roman" w:hAnsi="Times New Roman" w:cs="Times New Roman"/>
          <w:sz w:val="26"/>
          <w:szCs w:val="26"/>
        </w:rPr>
        <w:t xml:space="preserve"> </w:t>
      </w:r>
      <w:r w:rsidRPr="00CD48C8">
        <w:rPr>
          <w:rFonts w:ascii="Times New Roman" w:hAnsi="Times New Roman" w:cs="Times New Roman"/>
          <w:sz w:val="26"/>
          <w:szCs w:val="26"/>
        </w:rPr>
        <w:t>l’elemento che struttura il libro della Genesi. La formula si trova ben 11 volte nel libro: 2,4; 5,1; 6,9; 10,1;</w:t>
      </w:r>
      <w:r w:rsidR="000A590E" w:rsidRPr="00CD48C8">
        <w:rPr>
          <w:rFonts w:ascii="Times New Roman" w:hAnsi="Times New Roman" w:cs="Times New Roman"/>
          <w:sz w:val="26"/>
          <w:szCs w:val="26"/>
        </w:rPr>
        <w:t xml:space="preserve"> 11,10; 11,27; 25,12; 25,19; 36,</w:t>
      </w:r>
      <w:r w:rsidRPr="00CD48C8">
        <w:rPr>
          <w:rFonts w:ascii="Times New Roman" w:hAnsi="Times New Roman" w:cs="Times New Roman"/>
          <w:sz w:val="26"/>
          <w:szCs w:val="26"/>
        </w:rPr>
        <w:t>1.9; 37,2).</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Due sono i principali problemi.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lastRenderedPageBreak/>
        <w:t xml:space="preserve">In primo luogo, l’esatto significato della parola. In alcuni casi significa «elenco dei discendenti» o «discendenti di…» (5,1; 10,1; 11,10). In altri casi, invece, significa «storia di…» e </w:t>
      </w:r>
      <w:r w:rsidRPr="00CD48C8">
        <w:rPr>
          <w:rFonts w:ascii="Times New Roman" w:hAnsi="Times New Roman" w:cs="Times New Roman"/>
          <w:sz w:val="26"/>
          <w:szCs w:val="26"/>
        </w:rPr>
        <w:t>si riferisce agli eventi (2,4).</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In secondo luogo, anche dal punto di vista strutturale, alcune volte la formula se</w:t>
      </w:r>
      <w:r w:rsidRPr="00CD48C8">
        <w:rPr>
          <w:rFonts w:ascii="Times New Roman" w:hAnsi="Times New Roman" w:cs="Times New Roman"/>
          <w:sz w:val="26"/>
          <w:szCs w:val="26"/>
        </w:rPr>
        <w:t xml:space="preserve">rve da introduzione (cf. 37,2), </w:t>
      </w:r>
      <w:r w:rsidRPr="00CD48C8">
        <w:rPr>
          <w:rFonts w:ascii="Times New Roman" w:hAnsi="Times New Roman" w:cs="Times New Roman"/>
          <w:sz w:val="26"/>
          <w:szCs w:val="26"/>
        </w:rPr>
        <w:t>mentre altre volte funge da conclusione di un racconto (è il caso di 2,4 che funge da finale per il racconto di 1,1-2,4a).</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w:t>
      </w:r>
      <w:r w:rsidRPr="00CD48C8">
        <w:rPr>
          <w:rFonts w:ascii="Times New Roman" w:hAnsi="Times New Roman" w:cs="Times New Roman"/>
          <w:sz w:val="26"/>
          <w:szCs w:val="26"/>
        </w:rPr>
        <w:t>l primo problema, in realtà, è un falso problema. In linea generale, infatti, la parola, sia che si riferisca alle persone che agli eventi, significa sempre la stessa cosa, ossia «quello che è stato generato da…».</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Ora, a volte, questa formula è seguita da un elenco di nomi, quasi ad indicare una genealogia (5,1; 10,1; 11,20; 25,12; 36,1.9), mentre altre volte (2,4; 6,9; 11,27; 25,19; 37,2) è seguita da una narrazione che tratta, comunque sia, sempre dei discendenti del personaggio menzionato nella formula.</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Proprio queste ultime sembrano corrispondere ai momenti più importanti della Genesi: creazione dell’uomo e della donna (2,4); diluvio (6,9); storia di Abramo (11,27), di Giacobbe (25,19) e di Giu</w:t>
      </w:r>
      <w:r w:rsidR="000A590E" w:rsidRPr="00CD48C8">
        <w:rPr>
          <w:rFonts w:ascii="Times New Roman" w:hAnsi="Times New Roman" w:cs="Times New Roman"/>
          <w:sz w:val="26"/>
          <w:szCs w:val="26"/>
        </w:rPr>
        <w:t>seppe e i suoi fratelli (37,2).</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Anche riguardo al secondo punto, bisogna specificare che tutte le formule, compresa quella di 2,4, hanno valore introduttivo: in esse, infatti, è sempre menzionato il generatore e non ciò che viene generato.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La formula di Gen2,4 non significa «storia dell’origine del cielo e della terra», ma «storia di quello che è stato generato dal cielo e dalla terra», ossia il mondo descritto in Gen2,4-25 in cui dalla terra YHWH</w:t>
      </w:r>
      <w:r w:rsidRPr="00CD48C8">
        <w:rPr>
          <w:rFonts w:ascii="Times New Roman" w:hAnsi="Times New Roman" w:cs="Times New Roman"/>
          <w:sz w:val="26"/>
          <w:szCs w:val="26"/>
        </w:rPr>
        <w:t xml:space="preserve"> </w:t>
      </w:r>
      <w:r w:rsidRPr="00CD48C8">
        <w:rPr>
          <w:rFonts w:ascii="Times New Roman" w:hAnsi="Times New Roman" w:cs="Times New Roman"/>
          <w:sz w:val="26"/>
          <w:szCs w:val="26"/>
        </w:rPr>
        <w:t>genera il primo essere umano (2,7), fa germogliare gli alberi (2,9) e poi forma gli animali (2,19).</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Più che significare, allora, la conclusione del primo racconto della creazione, essa funge da introduzione al secondo racconto.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Inoltre, bisogna ricordare che Gen1 non parla d</w:t>
      </w:r>
      <w:r w:rsidR="000A590E" w:rsidRPr="00CD48C8">
        <w:rPr>
          <w:rFonts w:ascii="Times New Roman" w:hAnsi="Times New Roman" w:cs="Times New Roman"/>
          <w:sz w:val="26"/>
          <w:szCs w:val="26"/>
        </w:rPr>
        <w:t>i generazione, ma di creazione.</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La formula si estende per tutto il libro e non sembra segnare una differenza tra la storia delle origini (Gen1-11) e quella dei patriarchi (Gen12-50), divisione diventata classica all’interno degli studi di settore.</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Piuttosto, sembra sottolineare un’altra divisione: prima del diluvio e dopo il diluvio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Fra il diluvio e la storia di Abramo il libro della Genesi contiene poche narrazioni: tutto, comprese le storie della sbornia di Noè (9,18-29) o della torre di Babele (11,1-9), appare funzionale alla presentazione del personaggio di Abramo: a partire da Gen9,20-29 i testi non si interessano più allo storia dell’universo in quanto tale, ma introducono un principio di selezione che porta inesorabilmente alla chiamata di Abramo (Gen12,1-3)</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In primo luogo, siamo in presenza dei cosiddetti «programmi narrativi»: si tratta di alcuni discorsi programmatici divini che hanno come orizzonte l’intera storia di Israele o quella di uno dei patriarchi.</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Gen12,1-3 Il Signore disse ad Abram: «Vàttene</w:t>
      </w:r>
      <w:r w:rsidRPr="00CD48C8">
        <w:rPr>
          <w:rFonts w:ascii="Times New Roman" w:hAnsi="Times New Roman" w:cs="Times New Roman"/>
          <w:sz w:val="26"/>
          <w:szCs w:val="26"/>
        </w:rPr>
        <w:t xml:space="preserve"> </w:t>
      </w:r>
      <w:r w:rsidRPr="00CD48C8">
        <w:rPr>
          <w:rFonts w:ascii="Times New Roman" w:hAnsi="Times New Roman" w:cs="Times New Roman"/>
          <w:sz w:val="26"/>
          <w:szCs w:val="26"/>
        </w:rPr>
        <w:t>dal tuo paese, dalla tua patria e dalla casa di tuo padre, vers</w:t>
      </w:r>
      <w:r w:rsidR="000A590E" w:rsidRPr="00CD48C8">
        <w:rPr>
          <w:rFonts w:ascii="Times New Roman" w:hAnsi="Times New Roman" w:cs="Times New Roman"/>
          <w:sz w:val="26"/>
          <w:szCs w:val="26"/>
        </w:rPr>
        <w:t xml:space="preserve">o il paese che io ti indicherò. </w:t>
      </w:r>
      <w:r w:rsidRPr="00CD48C8">
        <w:rPr>
          <w:rFonts w:ascii="Times New Roman" w:hAnsi="Times New Roman" w:cs="Times New Roman"/>
          <w:sz w:val="26"/>
          <w:szCs w:val="26"/>
        </w:rPr>
        <w:t>Farò di te un grande popolo e ti benedirò, renderò grande il tuo nome e diventerai una benedizione. Benedirò coloro che ti benediranno e color</w:t>
      </w:r>
      <w:r w:rsidRPr="00CD48C8">
        <w:rPr>
          <w:rFonts w:ascii="Times New Roman" w:hAnsi="Times New Roman" w:cs="Times New Roman"/>
          <w:sz w:val="26"/>
          <w:szCs w:val="26"/>
        </w:rPr>
        <w:t xml:space="preserve">o che ti malediranno maledirò e </w:t>
      </w:r>
      <w:r w:rsidRPr="00CD48C8">
        <w:rPr>
          <w:rFonts w:ascii="Times New Roman" w:hAnsi="Times New Roman" w:cs="Times New Roman"/>
          <w:sz w:val="26"/>
          <w:szCs w:val="26"/>
        </w:rPr>
        <w:t>tutte le famiglie della terra useranno il tuo nome per benedirsi».</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U</w:t>
      </w:r>
      <w:r w:rsidRPr="00CD48C8">
        <w:rPr>
          <w:rFonts w:ascii="Times New Roman" w:hAnsi="Times New Roman" w:cs="Times New Roman"/>
          <w:sz w:val="26"/>
          <w:szCs w:val="26"/>
        </w:rPr>
        <w:t>n secondo discorso divino fatto ad Abramo (Gen13,14-17) preciserà i confini della terra che Dio dona ad Abramo e, con lui, all’intero Israele</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«Allora il Signore disse ad Abram, dopo che Lot</w:t>
      </w:r>
      <w:r w:rsidRPr="00CD48C8">
        <w:rPr>
          <w:rFonts w:ascii="Times New Roman" w:hAnsi="Times New Roman" w:cs="Times New Roman"/>
          <w:sz w:val="26"/>
          <w:szCs w:val="26"/>
        </w:rPr>
        <w:t xml:space="preserve"> </w:t>
      </w:r>
      <w:r w:rsidRPr="00CD48C8">
        <w:rPr>
          <w:rFonts w:ascii="Times New Roman" w:hAnsi="Times New Roman" w:cs="Times New Roman"/>
          <w:sz w:val="26"/>
          <w:szCs w:val="26"/>
        </w:rPr>
        <w:t>si era separato da lui: “Alz</w:t>
      </w:r>
      <w:r w:rsidR="00295BD6" w:rsidRPr="00CD48C8">
        <w:rPr>
          <w:rFonts w:ascii="Times New Roman" w:hAnsi="Times New Roman" w:cs="Times New Roman"/>
          <w:sz w:val="26"/>
          <w:szCs w:val="26"/>
        </w:rPr>
        <w:t xml:space="preserve">a gli occhi e dal luogo dove tu </w:t>
      </w:r>
      <w:r w:rsidRPr="00CD48C8">
        <w:rPr>
          <w:rFonts w:ascii="Times New Roman" w:hAnsi="Times New Roman" w:cs="Times New Roman"/>
          <w:sz w:val="26"/>
          <w:szCs w:val="26"/>
        </w:rPr>
        <w:t>stai spingi lo sguardo verso il settentrione e il mezzogiorno, verso l'oriente e l'occidente. Tutto il paese che tu vedi, io lo darò a te e alla tua discendenza per sempre. Renderò la tua discendenza come la polvere della terra: se uno può contare la polvere della terra, potrà contare anche i tuoi discendenti. Alzati, percorri il paese in lungo e in largo, perché io lo darò a te”» (Gen13,14-17).</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In Gen26,2-5 Dio ripete ad Isacco le promesse già fatte ad Abramo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 xml:space="preserve">«Gli apparve il Signore e gli disse: “Non scendere in Egitto, abita nel paese che io ti indicherò. Rimani in questo paese e io sarò con te e ti benedirò, perché a te e alla tua discendenza io concederò tutti questi territori, </w:t>
      </w:r>
      <w:r w:rsidRPr="00CD48C8">
        <w:rPr>
          <w:rFonts w:ascii="Times New Roman" w:hAnsi="Times New Roman" w:cs="Times New Roman"/>
          <w:sz w:val="26"/>
          <w:szCs w:val="26"/>
        </w:rPr>
        <w:lastRenderedPageBreak/>
        <w:t>e manterrò il giuramento che ho fatto ad Abramo tuo padre. Renderò la tua discendenza numerosa come le stelle del cielo e concederò alla tua discendenza tutti questi territori: tutte le nazioni della terra saranno benedette per la tua discendenza; per il fatto che Abramo ha obbedito alla mia voce e ha osservato ciò che io gli avevo prescritto: i miei comandamenti, le mie istituzioni e le mie leggi”».</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Nella «visione di Betel» (Gen28,10-22) Dio si rivela a Giacobbe come il Dio di Abramo e di Isacco sottolineando la continuità fra i patriarchi</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Ma c’è anche un elemento di novità:</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la promessa di Dio di far tornare Giacobbe nella terra dei suoi padri (28,5).</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“Poi ti farò ritornare in questo paese, perché non ti abbandonerò senza aver fatto tutto quello che t'ho detto”</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Gen</w:t>
      </w:r>
      <w:r w:rsidR="00CD48C8">
        <w:rPr>
          <w:rFonts w:ascii="Times New Roman" w:hAnsi="Times New Roman" w:cs="Times New Roman"/>
          <w:sz w:val="26"/>
          <w:szCs w:val="26"/>
        </w:rPr>
        <w:t xml:space="preserve"> </w:t>
      </w:r>
      <w:bookmarkStart w:id="0" w:name="_GoBack"/>
      <w:bookmarkEnd w:id="0"/>
      <w:r w:rsidRPr="00CD48C8">
        <w:rPr>
          <w:rFonts w:ascii="Times New Roman" w:hAnsi="Times New Roman" w:cs="Times New Roman"/>
          <w:sz w:val="26"/>
          <w:szCs w:val="26"/>
        </w:rPr>
        <w:t>46,1-5 siamo all’inizio del viaggio di Giacobbe verso l’Egitto dove si trova Giuseppe: con Giacobbe si trasferisce tutta la famiglia. Ma non si tratta di un trasferimento definitivo. Dio promette che lo farà salire dall’Egitto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“Israele dunque levò le tende con quanto possedeva e arrivò a Bersabea, dove offrì sacrifici al Dio di suo padre Isacco. Dio disse a Israele in una visione notturna: «Giacobbe, Giacobbe!». Rispose: «Eccomi!». Riprese: «Io sono Dio, il Dio di tuo padre. Non temere di scendere in Egitto, perché laggiù io farò di te un grande popolo. Io scenderò con te in Egitto e io certo ti farò tornare. Giuseppe ti chiuderà gli occhi». Giacobbe si alzò da Bersabea</w:t>
      </w:r>
      <w:r w:rsidRPr="00CD48C8">
        <w:rPr>
          <w:rFonts w:ascii="Times New Roman" w:hAnsi="Times New Roman" w:cs="Times New Roman"/>
          <w:sz w:val="26"/>
          <w:szCs w:val="26"/>
        </w:rPr>
        <w:t xml:space="preserve"> </w:t>
      </w:r>
      <w:r w:rsidRPr="00CD48C8">
        <w:rPr>
          <w:rFonts w:ascii="Times New Roman" w:hAnsi="Times New Roman" w:cs="Times New Roman"/>
          <w:sz w:val="26"/>
          <w:szCs w:val="26"/>
        </w:rPr>
        <w:t>e i figli di Israele fecero salire il loro padre Giacobbe, i loro bambini e le loro donne sui carri che il faraone aveva mandati per trasportarlo”.</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b/>
          <w:sz w:val="26"/>
          <w:szCs w:val="26"/>
        </w:rPr>
        <w:t>Un filo rosso intorno al quale sembrano intrecciarsi tutte queste storie è costituito dall’interesse per la «terra»</w:t>
      </w:r>
      <w:r w:rsidRPr="00CD48C8">
        <w:rPr>
          <w:rFonts w:ascii="Times New Roman" w:hAnsi="Times New Roman" w:cs="Times New Roman"/>
          <w:sz w:val="26"/>
          <w:szCs w:val="26"/>
        </w:rPr>
        <w:t>:</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YHWH</w:t>
      </w:r>
      <w:r w:rsidRPr="00CD48C8">
        <w:rPr>
          <w:rFonts w:ascii="Times New Roman" w:hAnsi="Times New Roman" w:cs="Times New Roman"/>
          <w:sz w:val="26"/>
          <w:szCs w:val="26"/>
        </w:rPr>
        <w:t xml:space="preserve"> </w:t>
      </w:r>
      <w:r w:rsidRPr="00CD48C8">
        <w:rPr>
          <w:rFonts w:ascii="Times New Roman" w:hAnsi="Times New Roman" w:cs="Times New Roman"/>
          <w:sz w:val="26"/>
          <w:szCs w:val="26"/>
        </w:rPr>
        <w:t>la fa vedere ad Abramo,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La promette un’altra volta ad Isacco;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vi fa ritornare Giacobbe dopo l’esilio forzato presso suo zio Labano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e promette nuovamente di far ritornare i suoi discendenti che si sono stabiliti in Egitto.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In tutti questi testi è evidente che la terra promessa è la terra di Canaan: intorno ad essa ruotano gli itinerari e le peregrinazioni dei patriarchi</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b/>
          <w:sz w:val="26"/>
          <w:szCs w:val="26"/>
        </w:rPr>
      </w:pPr>
      <w:r w:rsidRPr="00CD48C8">
        <w:rPr>
          <w:rFonts w:ascii="Times New Roman" w:hAnsi="Times New Roman" w:cs="Times New Roman"/>
          <w:b/>
          <w:sz w:val="26"/>
          <w:szCs w:val="26"/>
        </w:rPr>
        <w:t>Un altro tema importante è la ricerca della discendenza, erede della promessa</w:t>
      </w:r>
      <w:r w:rsidR="00295BD6" w:rsidRPr="00CD48C8">
        <w:rPr>
          <w:rFonts w:ascii="Times New Roman" w:hAnsi="Times New Roman" w:cs="Times New Roman"/>
          <w:b/>
          <w:sz w:val="26"/>
          <w:szCs w:val="26"/>
        </w:rPr>
        <w:t>.</w:t>
      </w:r>
    </w:p>
    <w:p w:rsidR="009E4BFE" w:rsidRPr="00CD48C8" w:rsidRDefault="009E4BFE"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Gen1-9 sagoma la storia dell’umanità, un’umanità che nonostante la creazione «buona» è sotto il segno del peccato e della violenza e che origina il diluvio. Dal diluvio nasce una nuova umanità, già in qualche modo redenta. Di questa umanità fa già parte Israele nel risalto che viene dato alla figura di Sem, figlio di Noè e antenato di Terach, padre di Abramo</w:t>
      </w: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Proprio con Abramo la storia si impernia sulla ricerca dell’erede della promessa fatta al patriarca: chi sarà? È la storia di candidati che saltano: Lot</w:t>
      </w:r>
      <w:r w:rsidRPr="00CD48C8">
        <w:rPr>
          <w:rFonts w:ascii="Times New Roman" w:hAnsi="Times New Roman" w:cs="Times New Roman"/>
          <w:sz w:val="26"/>
          <w:szCs w:val="26"/>
        </w:rPr>
        <w:t xml:space="preserve"> </w:t>
      </w:r>
      <w:r w:rsidRPr="00CD48C8">
        <w:rPr>
          <w:rFonts w:ascii="Times New Roman" w:hAnsi="Times New Roman" w:cs="Times New Roman"/>
          <w:sz w:val="26"/>
          <w:szCs w:val="26"/>
        </w:rPr>
        <w:t>(Gen13), Eliezer</w:t>
      </w:r>
      <w:r w:rsidRPr="00CD48C8">
        <w:rPr>
          <w:rFonts w:ascii="Times New Roman" w:hAnsi="Times New Roman" w:cs="Times New Roman"/>
          <w:sz w:val="26"/>
          <w:szCs w:val="26"/>
        </w:rPr>
        <w:t xml:space="preserve"> </w:t>
      </w:r>
      <w:r w:rsidRPr="00CD48C8">
        <w:rPr>
          <w:rFonts w:ascii="Times New Roman" w:hAnsi="Times New Roman" w:cs="Times New Roman"/>
          <w:sz w:val="26"/>
          <w:szCs w:val="26"/>
        </w:rPr>
        <w:t>(Gen15), Ismaele (Gen16 e Gen21), tutti scartati in favore di Isacco, l’unico erede (Gen21,1-7; cfGn15,1-6; 17; 18,1-15). Non solo: Isacco è erede della promessa e della terra di Canaan, motivo per cui gli altri popoli si posizioneranno fuori da essa</w:t>
      </w:r>
    </w:p>
    <w:p w:rsidR="00CD48C8" w:rsidRDefault="00CD48C8" w:rsidP="009E4BFE">
      <w:pPr>
        <w:spacing w:after="0"/>
        <w:jc w:val="both"/>
        <w:rPr>
          <w:rFonts w:ascii="Times New Roman" w:hAnsi="Times New Roman" w:cs="Times New Roman"/>
          <w:sz w:val="26"/>
          <w:szCs w:val="26"/>
        </w:rPr>
      </w:pPr>
    </w:p>
    <w:p w:rsidR="009E4BFE"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Anche la storia di Giacobbe (Gen25-35) serve a definire che solo lui è l’erede della promessa nonostante il fratello maggiore Esaù</w:t>
      </w:r>
      <w:r w:rsidRPr="00CD48C8">
        <w:rPr>
          <w:rFonts w:ascii="Times New Roman" w:hAnsi="Times New Roman" w:cs="Times New Roman"/>
          <w:sz w:val="26"/>
          <w:szCs w:val="26"/>
        </w:rPr>
        <w:t xml:space="preserve"> </w:t>
      </w:r>
      <w:r w:rsidRPr="00CD48C8">
        <w:rPr>
          <w:rFonts w:ascii="Times New Roman" w:hAnsi="Times New Roman" w:cs="Times New Roman"/>
          <w:sz w:val="26"/>
          <w:szCs w:val="26"/>
        </w:rPr>
        <w:t>e lo zio Labano, fissando con precisione i confini dei territori occupati ed indicando che la terra di Canaan</w:t>
      </w:r>
      <w:r w:rsidRPr="00CD48C8">
        <w:rPr>
          <w:rFonts w:ascii="Times New Roman" w:hAnsi="Times New Roman" w:cs="Times New Roman"/>
          <w:sz w:val="26"/>
          <w:szCs w:val="26"/>
        </w:rPr>
        <w:t xml:space="preserve"> </w:t>
      </w:r>
      <w:r w:rsidRPr="00CD48C8">
        <w:rPr>
          <w:rFonts w:ascii="Times New Roman" w:hAnsi="Times New Roman" w:cs="Times New Roman"/>
          <w:sz w:val="26"/>
          <w:szCs w:val="26"/>
        </w:rPr>
        <w:t>appartiene a Giacobbe (28,13-13; 31,3.13; 32,10)</w:t>
      </w:r>
    </w:p>
    <w:p w:rsidR="009E4BFE" w:rsidRPr="00CD48C8" w:rsidRDefault="009E4BFE" w:rsidP="009E4BFE">
      <w:pPr>
        <w:spacing w:after="0"/>
        <w:jc w:val="both"/>
        <w:rPr>
          <w:rFonts w:ascii="Times New Roman" w:hAnsi="Times New Roman" w:cs="Times New Roman"/>
          <w:sz w:val="26"/>
          <w:szCs w:val="26"/>
        </w:rPr>
      </w:pPr>
    </w:p>
    <w:p w:rsidR="00F1282A" w:rsidRPr="00CD48C8" w:rsidRDefault="009E4BFE" w:rsidP="009E4BFE">
      <w:pPr>
        <w:spacing w:after="0"/>
        <w:jc w:val="both"/>
        <w:rPr>
          <w:rFonts w:ascii="Times New Roman" w:hAnsi="Times New Roman" w:cs="Times New Roman"/>
          <w:sz w:val="26"/>
          <w:szCs w:val="26"/>
        </w:rPr>
      </w:pPr>
      <w:r w:rsidRPr="00CD48C8">
        <w:rPr>
          <w:rFonts w:ascii="Times New Roman" w:hAnsi="Times New Roman" w:cs="Times New Roman"/>
          <w:sz w:val="26"/>
          <w:szCs w:val="26"/>
        </w:rPr>
        <w:t>Infine, la storia di Giuseppe risponde ad un’ultima domanda: come mai vi sono dodici tribù? In questo caso, il libro sembra seguire lo stesso plot dei racconti precedenti: c’è un conflitto tra fratelli (Gen37) e, tuttavia, questo conflitto non porta alla sanzione di un unico erede, ma alla benedizione di tutti i fratelli in Gen49, fratelli che sono a capo delle dodici tribù di Israele.</w:t>
      </w:r>
    </w:p>
    <w:sectPr w:rsidR="00F1282A" w:rsidRPr="00CD48C8" w:rsidSect="00CD48C8">
      <w:footerReference w:type="default" r:id="rId6"/>
      <w:pgSz w:w="11906" w:h="16838"/>
      <w:pgMar w:top="284" w:right="284" w:bottom="284" w:left="284"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598B" w:rsidRDefault="00C0598B" w:rsidP="00CD48C8">
      <w:pPr>
        <w:spacing w:after="0" w:line="240" w:lineRule="auto"/>
      </w:pPr>
      <w:r>
        <w:separator/>
      </w:r>
    </w:p>
  </w:endnote>
  <w:endnote w:type="continuationSeparator" w:id="0">
    <w:p w:rsidR="00C0598B" w:rsidRDefault="00C0598B" w:rsidP="00CD48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6076246"/>
      <w:docPartObj>
        <w:docPartGallery w:val="Page Numbers (Bottom of Page)"/>
        <w:docPartUnique/>
      </w:docPartObj>
    </w:sdtPr>
    <w:sdtContent>
      <w:p w:rsidR="00CD48C8" w:rsidRDefault="00CD48C8">
        <w:pPr>
          <w:pStyle w:val="Pidipagina"/>
          <w:jc w:val="center"/>
        </w:pPr>
        <w:r>
          <w:fldChar w:fldCharType="begin"/>
        </w:r>
        <w:r>
          <w:instrText>PAGE   \* MERGEFORMAT</w:instrText>
        </w:r>
        <w:r>
          <w:fldChar w:fldCharType="separate"/>
        </w:r>
        <w:r>
          <w:rPr>
            <w:noProof/>
          </w:rPr>
          <w:t>1</w:t>
        </w:r>
        <w:r>
          <w:fldChar w:fldCharType="end"/>
        </w:r>
      </w:p>
    </w:sdtContent>
  </w:sdt>
  <w:p w:rsidR="00CD48C8" w:rsidRDefault="00CD48C8">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598B" w:rsidRDefault="00C0598B" w:rsidP="00CD48C8">
      <w:pPr>
        <w:spacing w:after="0" w:line="240" w:lineRule="auto"/>
      </w:pPr>
      <w:r>
        <w:separator/>
      </w:r>
    </w:p>
  </w:footnote>
  <w:footnote w:type="continuationSeparator" w:id="0">
    <w:p w:rsidR="00C0598B" w:rsidRDefault="00C0598B" w:rsidP="00CD48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BFE"/>
    <w:rsid w:val="000A590E"/>
    <w:rsid w:val="00295BD6"/>
    <w:rsid w:val="009E4BFE"/>
    <w:rsid w:val="00C0598B"/>
    <w:rsid w:val="00CD48C8"/>
    <w:rsid w:val="00F128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432D67-D3BB-4361-AD3D-CA70A2A82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CD48C8"/>
    <w:rPr>
      <w:sz w:val="16"/>
      <w:szCs w:val="16"/>
    </w:rPr>
  </w:style>
  <w:style w:type="paragraph" w:styleId="Testocommento">
    <w:name w:val="annotation text"/>
    <w:basedOn w:val="Normale"/>
    <w:link w:val="TestocommentoCarattere"/>
    <w:uiPriority w:val="99"/>
    <w:semiHidden/>
    <w:unhideWhenUsed/>
    <w:rsid w:val="00CD48C8"/>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CD48C8"/>
    <w:rPr>
      <w:sz w:val="20"/>
      <w:szCs w:val="20"/>
    </w:rPr>
  </w:style>
  <w:style w:type="paragraph" w:styleId="Soggettocommento">
    <w:name w:val="annotation subject"/>
    <w:basedOn w:val="Testocommento"/>
    <w:next w:val="Testocommento"/>
    <w:link w:val="SoggettocommentoCarattere"/>
    <w:uiPriority w:val="99"/>
    <w:semiHidden/>
    <w:unhideWhenUsed/>
    <w:rsid w:val="00CD48C8"/>
    <w:rPr>
      <w:b/>
      <w:bCs/>
    </w:rPr>
  </w:style>
  <w:style w:type="character" w:customStyle="1" w:styleId="SoggettocommentoCarattere">
    <w:name w:val="Soggetto commento Carattere"/>
    <w:basedOn w:val="TestocommentoCarattere"/>
    <w:link w:val="Soggettocommento"/>
    <w:uiPriority w:val="99"/>
    <w:semiHidden/>
    <w:rsid w:val="00CD48C8"/>
    <w:rPr>
      <w:b/>
      <w:bCs/>
      <w:sz w:val="20"/>
      <w:szCs w:val="20"/>
    </w:rPr>
  </w:style>
  <w:style w:type="paragraph" w:styleId="Testofumetto">
    <w:name w:val="Balloon Text"/>
    <w:basedOn w:val="Normale"/>
    <w:link w:val="TestofumettoCarattere"/>
    <w:uiPriority w:val="99"/>
    <w:semiHidden/>
    <w:unhideWhenUsed/>
    <w:rsid w:val="00CD48C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D48C8"/>
    <w:rPr>
      <w:rFonts w:ascii="Segoe UI" w:hAnsi="Segoe UI" w:cs="Segoe UI"/>
      <w:sz w:val="18"/>
      <w:szCs w:val="18"/>
    </w:rPr>
  </w:style>
  <w:style w:type="paragraph" w:styleId="Intestazione">
    <w:name w:val="header"/>
    <w:basedOn w:val="Normale"/>
    <w:link w:val="IntestazioneCarattere"/>
    <w:uiPriority w:val="99"/>
    <w:unhideWhenUsed/>
    <w:rsid w:val="00CD48C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D48C8"/>
  </w:style>
  <w:style w:type="paragraph" w:styleId="Pidipagina">
    <w:name w:val="footer"/>
    <w:basedOn w:val="Normale"/>
    <w:link w:val="PidipaginaCarattere"/>
    <w:uiPriority w:val="99"/>
    <w:unhideWhenUsed/>
    <w:rsid w:val="00CD48C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D48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4</Pages>
  <Words>2245</Words>
  <Characters>12797</Characters>
  <Application>Microsoft Office Word</Application>
  <DocSecurity>0</DocSecurity>
  <Lines>106</Lines>
  <Paragraphs>30</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15012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Pasquale dello Iacono</dc:creator>
  <cp:keywords/>
  <dc:description/>
  <cp:lastModifiedBy>Pasquale dello Iacono</cp:lastModifiedBy>
  <cp:revision>1</cp:revision>
  <dcterms:created xsi:type="dcterms:W3CDTF">2016-05-10T08:56:00Z</dcterms:created>
  <dcterms:modified xsi:type="dcterms:W3CDTF">2016-05-10T09:57:00Z</dcterms:modified>
</cp:coreProperties>
</file>