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7BE" w:rsidRDefault="000F230E" w:rsidP="000F230E">
      <w:pPr>
        <w:spacing w:after="0" w:line="276" w:lineRule="auto"/>
        <w:jc w:val="both"/>
        <w:rPr>
          <w:rFonts w:ascii="Times New Roman" w:hAnsi="Times New Roman" w:cs="Times New Roman"/>
          <w:sz w:val="24"/>
        </w:rPr>
      </w:pPr>
      <w:r>
        <w:rPr>
          <w:rFonts w:ascii="Times New Roman" w:hAnsi="Times New Roman" w:cs="Times New Roman"/>
          <w:sz w:val="24"/>
        </w:rPr>
        <w:t>Lectio divina Es 2,1-11.23b-25</w:t>
      </w:r>
    </w:p>
    <w:p w:rsidR="000F230E" w:rsidRDefault="000F230E" w:rsidP="000F230E">
      <w:pPr>
        <w:spacing w:after="0" w:line="276" w:lineRule="auto"/>
        <w:jc w:val="both"/>
        <w:rPr>
          <w:rFonts w:ascii="Times New Roman" w:hAnsi="Times New Roman" w:cs="Times New Roman"/>
          <w:sz w:val="24"/>
        </w:rPr>
      </w:pPr>
    </w:p>
    <w:p w:rsidR="00785A68" w:rsidRDefault="000F230E" w:rsidP="005740E8">
      <w:pPr>
        <w:spacing w:after="0" w:line="480" w:lineRule="auto"/>
        <w:jc w:val="both"/>
        <w:rPr>
          <w:rFonts w:ascii="Times New Roman" w:hAnsi="Times New Roman" w:cs="Times New Roman"/>
          <w:sz w:val="24"/>
        </w:rPr>
      </w:pPr>
      <w:r>
        <w:rPr>
          <w:rFonts w:ascii="Times New Roman" w:hAnsi="Times New Roman" w:cs="Times New Roman"/>
          <w:sz w:val="24"/>
        </w:rPr>
        <w:t>Ci troviamo dinnanzi al secondo capitolo del libro dell’Esodo</w:t>
      </w:r>
      <w:r w:rsidR="00785A68">
        <w:rPr>
          <w:rFonts w:ascii="Times New Roman" w:hAnsi="Times New Roman" w:cs="Times New Roman"/>
          <w:sz w:val="24"/>
        </w:rPr>
        <w:t xml:space="preserve">. Per iniziare a capire il brano dobbiamo porci subito tre domande: </w:t>
      </w:r>
    </w:p>
    <w:p w:rsidR="00785A68" w:rsidRDefault="00785A68" w:rsidP="005740E8">
      <w:pPr>
        <w:pStyle w:val="Paragrafoelenco"/>
        <w:numPr>
          <w:ilvl w:val="0"/>
          <w:numId w:val="3"/>
        </w:numPr>
        <w:spacing w:after="0" w:line="480" w:lineRule="auto"/>
        <w:jc w:val="both"/>
        <w:rPr>
          <w:rFonts w:ascii="Times New Roman" w:hAnsi="Times New Roman" w:cs="Times New Roman"/>
          <w:sz w:val="24"/>
        </w:rPr>
      </w:pPr>
      <w:r w:rsidRPr="00E37E10">
        <w:rPr>
          <w:rFonts w:ascii="Times New Roman" w:hAnsi="Times New Roman" w:cs="Times New Roman"/>
          <w:sz w:val="24"/>
        </w:rPr>
        <w:t xml:space="preserve">Ma qual è il suo contesto originale </w:t>
      </w:r>
      <w:r w:rsidRPr="00E37E10">
        <w:rPr>
          <w:rFonts w:ascii="Times New Roman" w:hAnsi="Times New Roman" w:cs="Times New Roman"/>
          <w:b/>
          <w:sz w:val="24"/>
        </w:rPr>
        <w:t>storico</w:t>
      </w:r>
      <w:r w:rsidRPr="00E37E10">
        <w:rPr>
          <w:rFonts w:ascii="Times New Roman" w:hAnsi="Times New Roman" w:cs="Times New Roman"/>
          <w:sz w:val="24"/>
        </w:rPr>
        <w:t xml:space="preserve">, e quello </w:t>
      </w:r>
      <w:r w:rsidRPr="00E37E10">
        <w:rPr>
          <w:rFonts w:ascii="Times New Roman" w:hAnsi="Times New Roman" w:cs="Times New Roman"/>
          <w:b/>
          <w:sz w:val="24"/>
        </w:rPr>
        <w:t>geografico</w:t>
      </w:r>
      <w:r w:rsidRPr="00E37E10">
        <w:rPr>
          <w:rFonts w:ascii="Times New Roman" w:hAnsi="Times New Roman" w:cs="Times New Roman"/>
          <w:sz w:val="24"/>
        </w:rPr>
        <w:t xml:space="preserve"> e quello </w:t>
      </w:r>
      <w:r w:rsidRPr="00E37E10">
        <w:rPr>
          <w:rFonts w:ascii="Times New Roman" w:hAnsi="Times New Roman" w:cs="Times New Roman"/>
          <w:b/>
          <w:sz w:val="24"/>
        </w:rPr>
        <w:t>culturale</w:t>
      </w:r>
      <w:r w:rsidRPr="00E37E10">
        <w:rPr>
          <w:rFonts w:ascii="Times New Roman" w:hAnsi="Times New Roman" w:cs="Times New Roman"/>
          <w:sz w:val="24"/>
        </w:rPr>
        <w:t>?</w:t>
      </w:r>
    </w:p>
    <w:p w:rsidR="001E626C" w:rsidRDefault="00E37E10" w:rsidP="005740E8">
      <w:pPr>
        <w:spacing w:after="0" w:line="480" w:lineRule="auto"/>
        <w:jc w:val="both"/>
        <w:rPr>
          <w:rFonts w:ascii="Times New Roman" w:hAnsi="Times New Roman" w:cs="Times New Roman"/>
          <w:sz w:val="24"/>
        </w:rPr>
      </w:pPr>
      <w:r>
        <w:rPr>
          <w:rFonts w:ascii="Times New Roman" w:hAnsi="Times New Roman" w:cs="Times New Roman"/>
          <w:sz w:val="24"/>
        </w:rPr>
        <w:t>Per quanto riguarda l’aspetto del suo cont</w:t>
      </w:r>
      <w:r w:rsidR="000454FB">
        <w:rPr>
          <w:rFonts w:ascii="Times New Roman" w:hAnsi="Times New Roman" w:cs="Times New Roman"/>
          <w:sz w:val="24"/>
        </w:rPr>
        <w:t>esto originale storico dobbiamo incominciare col dire che il libro dell’Esodo ha un valore tipico, che non esclude un riferimento storico concreto. Il volume dell’Esodo nasce dal processo di cristallizzazione e di canonizzazione delle antiche tradizioni storiche d’Israele confluite in tradizioni letterarie ora decifrabili attraverso la radiografia critica del testo e convenzionalmente definite dagli studiosi coi nomi con cui Dio in esso è chiamato. Si parl</w:t>
      </w:r>
      <w:r w:rsidR="00F47C1A">
        <w:rPr>
          <w:rFonts w:ascii="Times New Roman" w:hAnsi="Times New Roman" w:cs="Times New Roman"/>
          <w:sz w:val="24"/>
        </w:rPr>
        <w:t>a</w:t>
      </w:r>
      <w:r w:rsidR="000454FB">
        <w:rPr>
          <w:rFonts w:ascii="Times New Roman" w:hAnsi="Times New Roman" w:cs="Times New Roman"/>
          <w:sz w:val="24"/>
        </w:rPr>
        <w:t xml:space="preserve">, così, di </w:t>
      </w:r>
      <w:r w:rsidR="000454FB" w:rsidRPr="00F47C1A">
        <w:rPr>
          <w:rFonts w:ascii="Times New Roman" w:hAnsi="Times New Roman" w:cs="Times New Roman"/>
          <w:b/>
          <w:i/>
          <w:sz w:val="24"/>
        </w:rPr>
        <w:t xml:space="preserve">Tradizione </w:t>
      </w:r>
      <w:proofErr w:type="spellStart"/>
      <w:r w:rsidR="000454FB" w:rsidRPr="00F47C1A">
        <w:rPr>
          <w:rFonts w:ascii="Times New Roman" w:hAnsi="Times New Roman" w:cs="Times New Roman"/>
          <w:b/>
          <w:i/>
          <w:sz w:val="24"/>
        </w:rPr>
        <w:t>Jahvista</w:t>
      </w:r>
      <w:proofErr w:type="spellEnd"/>
      <w:r w:rsidR="000454FB">
        <w:rPr>
          <w:rFonts w:ascii="Times New Roman" w:hAnsi="Times New Roman" w:cs="Times New Roman"/>
          <w:sz w:val="24"/>
        </w:rPr>
        <w:t xml:space="preserve"> a causa del tetragramma sacro e impronunciabile JHWH da essa usato (X sec. a. C.) e di </w:t>
      </w:r>
      <w:r w:rsidR="000454FB" w:rsidRPr="00F47C1A">
        <w:rPr>
          <w:rFonts w:ascii="Times New Roman" w:hAnsi="Times New Roman" w:cs="Times New Roman"/>
          <w:b/>
          <w:i/>
          <w:sz w:val="24"/>
        </w:rPr>
        <w:t xml:space="preserve">Tradizione </w:t>
      </w:r>
      <w:proofErr w:type="spellStart"/>
      <w:r w:rsidR="000454FB" w:rsidRPr="00F47C1A">
        <w:rPr>
          <w:rFonts w:ascii="Times New Roman" w:hAnsi="Times New Roman" w:cs="Times New Roman"/>
          <w:b/>
          <w:i/>
          <w:sz w:val="24"/>
        </w:rPr>
        <w:t>Elohista</w:t>
      </w:r>
      <w:proofErr w:type="spellEnd"/>
      <w:r w:rsidR="000454FB">
        <w:rPr>
          <w:rFonts w:ascii="Times New Roman" w:hAnsi="Times New Roman" w:cs="Times New Roman"/>
          <w:sz w:val="24"/>
        </w:rPr>
        <w:t xml:space="preserve"> dal nome comune </w:t>
      </w:r>
      <w:proofErr w:type="spellStart"/>
      <w:r w:rsidR="000454FB" w:rsidRPr="00F47C1A">
        <w:rPr>
          <w:rFonts w:ascii="Times New Roman" w:hAnsi="Times New Roman" w:cs="Times New Roman"/>
          <w:i/>
          <w:sz w:val="24"/>
        </w:rPr>
        <w:t>Elohim</w:t>
      </w:r>
      <w:proofErr w:type="spellEnd"/>
      <w:r w:rsidR="000454FB">
        <w:rPr>
          <w:rFonts w:ascii="Times New Roman" w:hAnsi="Times New Roman" w:cs="Times New Roman"/>
          <w:sz w:val="24"/>
        </w:rPr>
        <w:t xml:space="preserve"> con cui la linguistica semitica definiva la divinità (VIII sec. a.C.)</w:t>
      </w:r>
      <w:r w:rsidR="00AF13BA">
        <w:rPr>
          <w:rFonts w:ascii="Times New Roman" w:hAnsi="Times New Roman" w:cs="Times New Roman"/>
          <w:sz w:val="24"/>
        </w:rPr>
        <w:t xml:space="preserve">. L’intelaiatura di queste due tradizioni, che, come detto, avevano una loro preistoria arcaica, ebbe una prima armonizzazione dopo il crollo del Regno del Nord o di Samaria (721 a.C.) ad opera di un redattore. Gli studiosi hanno indicato questa operazione redazionale sui materiali J ed E. A queste tradizioni si aggiunse durante l’esilio babilonese (VI sec. a.C.) la </w:t>
      </w:r>
      <w:r w:rsidR="00AF13BA" w:rsidRPr="00F47C1A">
        <w:rPr>
          <w:rFonts w:ascii="Times New Roman" w:hAnsi="Times New Roman" w:cs="Times New Roman"/>
          <w:b/>
          <w:i/>
          <w:sz w:val="24"/>
        </w:rPr>
        <w:t>Tradizione</w:t>
      </w:r>
      <w:r w:rsidR="00AF13BA">
        <w:rPr>
          <w:rFonts w:ascii="Times New Roman" w:hAnsi="Times New Roman" w:cs="Times New Roman"/>
          <w:sz w:val="24"/>
        </w:rPr>
        <w:t xml:space="preserve"> </w:t>
      </w:r>
      <w:r w:rsidR="00AF13BA" w:rsidRPr="00F47C1A">
        <w:rPr>
          <w:rFonts w:ascii="Times New Roman" w:hAnsi="Times New Roman" w:cs="Times New Roman"/>
          <w:b/>
          <w:i/>
          <w:sz w:val="24"/>
        </w:rPr>
        <w:t>Sacerdotale</w:t>
      </w:r>
      <w:r w:rsidR="00A052DA">
        <w:rPr>
          <w:rFonts w:ascii="Times New Roman" w:hAnsi="Times New Roman" w:cs="Times New Roman"/>
          <w:sz w:val="24"/>
        </w:rPr>
        <w:t>. Si tratta di correnti vive, composte di materiali prima annunciati nelle assemblee liturgiche, nei villaggi, nelle catechesi familiari (</w:t>
      </w:r>
      <w:proofErr w:type="spellStart"/>
      <w:r w:rsidR="00A052DA">
        <w:rPr>
          <w:rFonts w:ascii="Times New Roman" w:hAnsi="Times New Roman" w:cs="Times New Roman"/>
          <w:sz w:val="24"/>
        </w:rPr>
        <w:t>Sal</w:t>
      </w:r>
      <w:proofErr w:type="spellEnd"/>
      <w:r w:rsidR="00A052DA">
        <w:rPr>
          <w:rFonts w:ascii="Times New Roman" w:hAnsi="Times New Roman" w:cs="Times New Roman"/>
          <w:sz w:val="24"/>
        </w:rPr>
        <w:t xml:space="preserve"> 78,3-4), divenute poi fiumi dal percorso abbastanza chiaro e confluite poi, con la diversità dei loro toni, dei loro colori e delle loro impostazioni, a raggiera nel delta grandioso del rotolo dell’esodo che ancora oggi leggiamo come opera omogenea ed unitaria</w:t>
      </w:r>
      <w:r w:rsidR="001E626C">
        <w:rPr>
          <w:rFonts w:ascii="Times New Roman" w:hAnsi="Times New Roman" w:cs="Times New Roman"/>
          <w:sz w:val="24"/>
        </w:rPr>
        <w:t>. L’analisi storiografica condotta su questi materiali compositi e spesso a tonalità epica cerca con fatica di definire i contorni storici essenziali dei singoli quadri proposti dalle varie pagine.</w:t>
      </w:r>
    </w:p>
    <w:p w:rsidR="00E37E10" w:rsidRDefault="00AF13BA" w:rsidP="005740E8">
      <w:pPr>
        <w:spacing w:after="0" w:line="480" w:lineRule="auto"/>
        <w:jc w:val="both"/>
        <w:rPr>
          <w:rFonts w:ascii="Times New Roman" w:hAnsi="Times New Roman" w:cs="Times New Roman"/>
          <w:sz w:val="24"/>
        </w:rPr>
      </w:pPr>
      <w:r>
        <w:rPr>
          <w:rFonts w:ascii="Times New Roman" w:hAnsi="Times New Roman" w:cs="Times New Roman"/>
          <w:sz w:val="24"/>
        </w:rPr>
        <w:t xml:space="preserve"> </w:t>
      </w:r>
      <w:r w:rsidR="00730DA9">
        <w:rPr>
          <w:rFonts w:ascii="Times New Roman" w:hAnsi="Times New Roman" w:cs="Times New Roman"/>
          <w:sz w:val="24"/>
        </w:rPr>
        <w:tab/>
        <w:t xml:space="preserve">Il contesto strettamente storico del brano in questione è in riferimento alla XIX dinastia con </w:t>
      </w:r>
      <w:proofErr w:type="spellStart"/>
      <w:r w:rsidR="00730DA9">
        <w:rPr>
          <w:rFonts w:ascii="Times New Roman" w:hAnsi="Times New Roman" w:cs="Times New Roman"/>
          <w:sz w:val="24"/>
        </w:rPr>
        <w:t>Sethi</w:t>
      </w:r>
      <w:proofErr w:type="spellEnd"/>
      <w:r w:rsidR="00730DA9">
        <w:rPr>
          <w:rFonts w:ascii="Times New Roman" w:hAnsi="Times New Roman" w:cs="Times New Roman"/>
          <w:sz w:val="24"/>
        </w:rPr>
        <w:t xml:space="preserve"> I nel 1306. Infatti a proposito la Bibbia ci offre una spia storica significativa. Il giro di vite repressivo, oltre che del genocidio, si avvale anche dei lavori forati per la costruzione a ritmi accelerati di due </w:t>
      </w:r>
      <w:proofErr w:type="spellStart"/>
      <w:r w:rsidR="00730DA9">
        <w:rPr>
          <w:rFonts w:ascii="Times New Roman" w:hAnsi="Times New Roman" w:cs="Times New Roman"/>
          <w:i/>
          <w:sz w:val="24"/>
        </w:rPr>
        <w:t>miskenot</w:t>
      </w:r>
      <w:proofErr w:type="spellEnd"/>
      <w:r w:rsidR="00730DA9">
        <w:rPr>
          <w:rFonts w:ascii="Times New Roman" w:hAnsi="Times New Roman" w:cs="Times New Roman"/>
          <w:sz w:val="24"/>
        </w:rPr>
        <w:t>, termine accadico che indica le città-deposito o di vettovagliamento. Una di queste città è chiamata</w:t>
      </w:r>
      <w:r w:rsidR="00F024DE">
        <w:rPr>
          <w:rFonts w:ascii="Times New Roman" w:hAnsi="Times New Roman" w:cs="Times New Roman"/>
          <w:sz w:val="24"/>
        </w:rPr>
        <w:t xml:space="preserve"> dalla Bibbia </w:t>
      </w:r>
      <w:proofErr w:type="spellStart"/>
      <w:r w:rsidR="00F024DE">
        <w:rPr>
          <w:rFonts w:ascii="Times New Roman" w:hAnsi="Times New Roman" w:cs="Times New Roman"/>
          <w:sz w:val="24"/>
        </w:rPr>
        <w:t>Pitom</w:t>
      </w:r>
      <w:proofErr w:type="spellEnd"/>
      <w:r w:rsidR="00F024DE">
        <w:rPr>
          <w:rFonts w:ascii="Times New Roman" w:hAnsi="Times New Roman" w:cs="Times New Roman"/>
          <w:sz w:val="24"/>
        </w:rPr>
        <w:t xml:space="preserve">, l’altra </w:t>
      </w:r>
      <w:proofErr w:type="spellStart"/>
      <w:r w:rsidR="00F024DE">
        <w:rPr>
          <w:rFonts w:ascii="Times New Roman" w:hAnsi="Times New Roman" w:cs="Times New Roman"/>
          <w:sz w:val="24"/>
        </w:rPr>
        <w:t>Ramses</w:t>
      </w:r>
      <w:proofErr w:type="spellEnd"/>
      <w:r w:rsidR="00F024DE">
        <w:rPr>
          <w:rFonts w:ascii="Times New Roman" w:hAnsi="Times New Roman" w:cs="Times New Roman"/>
          <w:sz w:val="24"/>
        </w:rPr>
        <w:t xml:space="preserve">, forse </w:t>
      </w:r>
      <w:proofErr w:type="spellStart"/>
      <w:r w:rsidR="00F024DE">
        <w:rPr>
          <w:rFonts w:ascii="Times New Roman" w:hAnsi="Times New Roman" w:cs="Times New Roman"/>
          <w:sz w:val="24"/>
        </w:rPr>
        <w:t>Avaris</w:t>
      </w:r>
      <w:proofErr w:type="spellEnd"/>
      <w:r w:rsidR="00F024DE">
        <w:rPr>
          <w:rFonts w:ascii="Times New Roman" w:hAnsi="Times New Roman" w:cs="Times New Roman"/>
          <w:sz w:val="24"/>
        </w:rPr>
        <w:t xml:space="preserve">. Israele sarebbe stato colpito dalle </w:t>
      </w:r>
      <w:proofErr w:type="spellStart"/>
      <w:r w:rsidR="00F024DE">
        <w:rPr>
          <w:rFonts w:ascii="Times New Roman" w:hAnsi="Times New Roman" w:cs="Times New Roman"/>
          <w:sz w:val="24"/>
        </w:rPr>
        <w:t>corvées</w:t>
      </w:r>
      <w:proofErr w:type="spellEnd"/>
      <w:r w:rsidR="00F024DE">
        <w:rPr>
          <w:rFonts w:ascii="Times New Roman" w:hAnsi="Times New Roman" w:cs="Times New Roman"/>
          <w:sz w:val="24"/>
        </w:rPr>
        <w:t xml:space="preserve"> del celebre ed implacabile faraone. Accanto a questa fondamentale esperienza, le fonti ricordano però anche un soggiorno più sereno in Egitto, infatti in Es 12,35-36 gli israeliti si fecero dare dagli egiziani oggetti d’oro e d’argento e vesti. Quindi è difficile delimitare il soggiorno degli Israeliti in Egitto.</w:t>
      </w:r>
    </w:p>
    <w:p w:rsidR="00F024DE" w:rsidRPr="00730DA9" w:rsidRDefault="00F024DE" w:rsidP="005740E8">
      <w:pPr>
        <w:spacing w:after="0" w:line="480" w:lineRule="auto"/>
        <w:jc w:val="both"/>
        <w:rPr>
          <w:rFonts w:ascii="Times New Roman" w:hAnsi="Times New Roman" w:cs="Times New Roman"/>
          <w:sz w:val="24"/>
        </w:rPr>
      </w:pPr>
      <w:r>
        <w:rPr>
          <w:rFonts w:ascii="Times New Roman" w:hAnsi="Times New Roman" w:cs="Times New Roman"/>
          <w:sz w:val="24"/>
        </w:rPr>
        <w:lastRenderedPageBreak/>
        <w:tab/>
        <w:t xml:space="preserve">Lo scopo del redattore finale è stato quello </w:t>
      </w:r>
      <w:r w:rsidR="00211BF2">
        <w:rPr>
          <w:rFonts w:ascii="Times New Roman" w:hAnsi="Times New Roman" w:cs="Times New Roman"/>
          <w:sz w:val="24"/>
        </w:rPr>
        <w:t>di rimettere in piedi una comunità distrutta dall’esperienza dell’esilio babilonese, pertanto l’esodo con il suo essere evento fondatore</w:t>
      </w:r>
      <w:r w:rsidR="006B5E63">
        <w:rPr>
          <w:rFonts w:ascii="Times New Roman" w:hAnsi="Times New Roman" w:cs="Times New Roman"/>
          <w:sz w:val="24"/>
        </w:rPr>
        <w:t xml:space="preserve"> e realtà sempre viva</w:t>
      </w:r>
      <w:r w:rsidR="00211BF2">
        <w:rPr>
          <w:rFonts w:ascii="Times New Roman" w:hAnsi="Times New Roman" w:cs="Times New Roman"/>
          <w:sz w:val="24"/>
        </w:rPr>
        <w:t xml:space="preserve"> della comunità di Israele salvata e </w:t>
      </w:r>
      <w:r w:rsidR="006B5E63">
        <w:rPr>
          <w:rFonts w:ascii="Times New Roman" w:hAnsi="Times New Roman" w:cs="Times New Roman"/>
          <w:sz w:val="24"/>
        </w:rPr>
        <w:t>che conosce pian piano Dio diventando popolo eletto</w:t>
      </w:r>
      <w:r w:rsidR="00211BF2">
        <w:rPr>
          <w:rFonts w:ascii="Times New Roman" w:hAnsi="Times New Roman" w:cs="Times New Roman"/>
          <w:sz w:val="24"/>
        </w:rPr>
        <w:t xml:space="preserve"> </w:t>
      </w:r>
      <w:r w:rsidR="006B5E63">
        <w:rPr>
          <w:rFonts w:ascii="Times New Roman" w:hAnsi="Times New Roman" w:cs="Times New Roman"/>
          <w:sz w:val="24"/>
        </w:rPr>
        <w:t>d</w:t>
      </w:r>
      <w:r w:rsidR="00211BF2">
        <w:rPr>
          <w:rFonts w:ascii="Times New Roman" w:hAnsi="Times New Roman" w:cs="Times New Roman"/>
          <w:sz w:val="24"/>
        </w:rPr>
        <w:t>a Dio è il testo fondamentale di Israele avendo come personaggio fondamentale Mosè.</w:t>
      </w:r>
    </w:p>
    <w:p w:rsidR="000F230E" w:rsidRDefault="00785A68" w:rsidP="005740E8">
      <w:pPr>
        <w:spacing w:after="0" w:line="480" w:lineRule="auto"/>
        <w:jc w:val="both"/>
        <w:rPr>
          <w:rFonts w:ascii="Times New Roman" w:hAnsi="Times New Roman" w:cs="Times New Roman"/>
          <w:sz w:val="24"/>
        </w:rPr>
      </w:pPr>
      <w:r w:rsidRPr="00785A68">
        <w:rPr>
          <w:rFonts w:ascii="Times New Roman" w:hAnsi="Times New Roman" w:cs="Times New Roman"/>
          <w:sz w:val="24"/>
        </w:rPr>
        <w:t xml:space="preserve"> </w:t>
      </w:r>
    </w:p>
    <w:p w:rsidR="006B5E63" w:rsidRDefault="006B5E63" w:rsidP="005740E8">
      <w:pPr>
        <w:spacing w:after="0" w:line="480" w:lineRule="auto"/>
        <w:jc w:val="both"/>
        <w:rPr>
          <w:rFonts w:ascii="Times New Roman" w:hAnsi="Times New Roman" w:cs="Times New Roman"/>
          <w:sz w:val="24"/>
        </w:rPr>
      </w:pPr>
      <w:r>
        <w:rPr>
          <w:rFonts w:ascii="Times New Roman" w:hAnsi="Times New Roman" w:cs="Times New Roman"/>
          <w:sz w:val="24"/>
        </w:rPr>
        <w:t>Venendo strettamente al testo in questione essa è una fusione della tradizione J ed E</w:t>
      </w:r>
      <w:r w:rsidR="00F47C1A">
        <w:rPr>
          <w:rFonts w:ascii="Times New Roman" w:hAnsi="Times New Roman" w:cs="Times New Roman"/>
          <w:sz w:val="24"/>
        </w:rPr>
        <w:t>. L</w:t>
      </w:r>
      <w:r w:rsidR="000C2A6A">
        <w:rPr>
          <w:rFonts w:ascii="Times New Roman" w:hAnsi="Times New Roman" w:cs="Times New Roman"/>
          <w:sz w:val="24"/>
        </w:rPr>
        <w:t xml:space="preserve">a scena ha indubbiamente connotati leggendari. Infatti già nel 2334-2270 a.C. si racconta del re </w:t>
      </w:r>
      <w:proofErr w:type="spellStart"/>
      <w:r w:rsidR="000C2A6A">
        <w:rPr>
          <w:rFonts w:ascii="Times New Roman" w:hAnsi="Times New Roman" w:cs="Times New Roman"/>
          <w:sz w:val="24"/>
        </w:rPr>
        <w:t>Sargon</w:t>
      </w:r>
      <w:proofErr w:type="spellEnd"/>
      <w:r w:rsidR="000C2A6A">
        <w:rPr>
          <w:rFonts w:ascii="Times New Roman" w:hAnsi="Times New Roman" w:cs="Times New Roman"/>
          <w:sz w:val="24"/>
        </w:rPr>
        <w:t xml:space="preserve"> di </w:t>
      </w:r>
      <w:proofErr w:type="spellStart"/>
      <w:r w:rsidR="000C2A6A">
        <w:rPr>
          <w:rFonts w:ascii="Times New Roman" w:hAnsi="Times New Roman" w:cs="Times New Roman"/>
          <w:sz w:val="24"/>
        </w:rPr>
        <w:t>Akkad</w:t>
      </w:r>
      <w:proofErr w:type="spellEnd"/>
      <w:r w:rsidR="000C2A6A">
        <w:rPr>
          <w:rFonts w:ascii="Times New Roman" w:hAnsi="Times New Roman" w:cs="Times New Roman"/>
          <w:sz w:val="24"/>
        </w:rPr>
        <w:t xml:space="preserve"> che la madre lo aveva esposto sulle acque di un fiume in una cesta di vimini spalmata di bitume. Salvato da un acquaiolo ed allevato come giardiniere, era divenuto poi, per merito della dea </w:t>
      </w:r>
      <w:proofErr w:type="spellStart"/>
      <w:r w:rsidR="000C2A6A">
        <w:rPr>
          <w:rFonts w:ascii="Times New Roman" w:hAnsi="Times New Roman" w:cs="Times New Roman"/>
          <w:sz w:val="24"/>
        </w:rPr>
        <w:t>Ishtar</w:t>
      </w:r>
      <w:proofErr w:type="spellEnd"/>
      <w:r w:rsidR="000C2A6A">
        <w:rPr>
          <w:rFonts w:ascii="Times New Roman" w:hAnsi="Times New Roman" w:cs="Times New Roman"/>
          <w:sz w:val="24"/>
        </w:rPr>
        <w:t xml:space="preserve"> che si era innamorato di lui, un grande re fondatore d’una celebre dinastia. Certo è che il nostro racconto ha uno sfondo fortemente egiziano e fantastico. Il papiro con cui è confezionato</w:t>
      </w:r>
      <w:r w:rsidR="00FF174C">
        <w:rPr>
          <w:rFonts w:ascii="Times New Roman" w:hAnsi="Times New Roman" w:cs="Times New Roman"/>
          <w:sz w:val="24"/>
        </w:rPr>
        <w:t xml:space="preserve"> il cestello di Mosè è il notissimo arbusto dell’Egitto: pianta alimentare e medicinale, il pa</w:t>
      </w:r>
      <w:r w:rsidR="00F47C1A">
        <w:rPr>
          <w:rFonts w:ascii="Times New Roman" w:hAnsi="Times New Roman" w:cs="Times New Roman"/>
          <w:sz w:val="24"/>
        </w:rPr>
        <w:t>p</w:t>
      </w:r>
      <w:r w:rsidR="00FF174C">
        <w:rPr>
          <w:rFonts w:ascii="Times New Roman" w:hAnsi="Times New Roman" w:cs="Times New Roman"/>
          <w:sz w:val="24"/>
        </w:rPr>
        <w:t>iro era usato anche a livello industriale per la confezione di ceste e, attraverso una tecnica sofisticata</w:t>
      </w:r>
      <w:r w:rsidR="008F1C21">
        <w:rPr>
          <w:rFonts w:ascii="Times New Roman" w:hAnsi="Times New Roman" w:cs="Times New Roman"/>
          <w:sz w:val="24"/>
        </w:rPr>
        <w:t>, anche come materiale per scrivere. Lo stesso nome Mosè che è di etimologia egiziana (infatti significa figlio), qui riceve una curiosa interpretazione etimologica popolare, «il tirato fuori dalle acque». In realtà, pur nella illegittimità della derivazione verbale, la forma esterna sarebbe in ebraico quella di un participio attivo e sarebbe perciò da rendere suggestivamente come «colui che tira fuori dalle acque della schiavitù». Tuttavia, al di là della forte rielaborazione mitica e teologica, Mosè resta sempre una figura storica reale</w:t>
      </w:r>
      <w:r w:rsidR="00903127">
        <w:rPr>
          <w:rFonts w:ascii="Times New Roman" w:hAnsi="Times New Roman" w:cs="Times New Roman"/>
          <w:sz w:val="24"/>
        </w:rPr>
        <w:t xml:space="preserve"> di cui si possono con buona probabilità indicare, sulla base dei testi biblici, alcuni dati biografici.</w:t>
      </w:r>
    </w:p>
    <w:p w:rsidR="00944032" w:rsidRDefault="00F47C1A" w:rsidP="005740E8">
      <w:pPr>
        <w:spacing w:after="0" w:line="480" w:lineRule="auto"/>
        <w:jc w:val="both"/>
        <w:rPr>
          <w:rFonts w:ascii="Times New Roman" w:hAnsi="Times New Roman" w:cs="Times New Roman"/>
          <w:sz w:val="24"/>
        </w:rPr>
      </w:pPr>
      <w:r>
        <w:rPr>
          <w:rFonts w:ascii="Times New Roman" w:hAnsi="Times New Roman" w:cs="Times New Roman"/>
          <w:sz w:val="24"/>
        </w:rPr>
        <w:t>Alcuni aspetti importanti tratti dai versetti del nostro testo. Al v. 2</w:t>
      </w:r>
      <w:r w:rsidR="00155FB9">
        <w:rPr>
          <w:rFonts w:ascii="Times New Roman" w:hAnsi="Times New Roman" w:cs="Times New Roman"/>
          <w:sz w:val="24"/>
        </w:rPr>
        <w:t xml:space="preserve"> troviamo la nascita di Mosè come filo conduttore di tutto il racconto accanto alla salvezza di esso. Questa nascita e la sua sopravvivenza è il centro dell’annunzio. Il dettaglio di bello nei con</w:t>
      </w:r>
      <w:r w:rsidR="00DA601A">
        <w:rPr>
          <w:rFonts w:ascii="Times New Roman" w:hAnsi="Times New Roman" w:cs="Times New Roman"/>
          <w:sz w:val="24"/>
        </w:rPr>
        <w:t>fronti del bambino potrebbe ric</w:t>
      </w:r>
      <w:r w:rsidR="00155FB9">
        <w:rPr>
          <w:rFonts w:ascii="Times New Roman" w:hAnsi="Times New Roman" w:cs="Times New Roman"/>
          <w:sz w:val="24"/>
        </w:rPr>
        <w:t xml:space="preserve">hiamare l’azione benefica di Dio verso le levatrici e sulla scia di Es 1,7, che riprende il vocabolario di </w:t>
      </w:r>
      <w:proofErr w:type="spellStart"/>
      <w:r w:rsidR="00155FB9">
        <w:rPr>
          <w:rFonts w:ascii="Times New Roman" w:hAnsi="Times New Roman" w:cs="Times New Roman"/>
          <w:sz w:val="24"/>
        </w:rPr>
        <w:t>Gn</w:t>
      </w:r>
      <w:proofErr w:type="spellEnd"/>
      <w:r w:rsidR="00155FB9">
        <w:rPr>
          <w:rFonts w:ascii="Times New Roman" w:hAnsi="Times New Roman" w:cs="Times New Roman"/>
          <w:sz w:val="24"/>
        </w:rPr>
        <w:t xml:space="preserve"> </w:t>
      </w:r>
      <w:proofErr w:type="gramStart"/>
      <w:r w:rsidR="00155FB9">
        <w:rPr>
          <w:rFonts w:ascii="Times New Roman" w:hAnsi="Times New Roman" w:cs="Times New Roman"/>
          <w:sz w:val="24"/>
        </w:rPr>
        <w:t>1,4.10</w:t>
      </w:r>
      <w:proofErr w:type="gramEnd"/>
      <w:r w:rsidR="00155FB9">
        <w:rPr>
          <w:rFonts w:ascii="Times New Roman" w:hAnsi="Times New Roman" w:cs="Times New Roman"/>
          <w:sz w:val="24"/>
        </w:rPr>
        <w:t>,12.18.21.25. Pertanto nella nascita di Mosè continuerebbe la benedizione feconda del Creatore e apparirebbe una bellezza profonda, quella che l’uomo possiede agli occhi di Dio</w:t>
      </w:r>
      <w:r w:rsidR="00EE3D39">
        <w:rPr>
          <w:rFonts w:ascii="Times New Roman" w:hAnsi="Times New Roman" w:cs="Times New Roman"/>
          <w:sz w:val="24"/>
        </w:rPr>
        <w:t xml:space="preserve">. Anche al v.3 troviamo una particolarità in esso il narratore ha voluto sottolineare con ironia l’obbedienza della madre all’ordine del faraone, ma deponendolo in un’arca di salvezza. Inoltre il termine </w:t>
      </w:r>
      <w:proofErr w:type="spellStart"/>
      <w:r w:rsidR="00EE3D39">
        <w:rPr>
          <w:rFonts w:ascii="Times New Roman" w:hAnsi="Times New Roman" w:cs="Times New Roman"/>
          <w:i/>
          <w:sz w:val="24"/>
        </w:rPr>
        <w:t>sûp</w:t>
      </w:r>
      <w:proofErr w:type="spellEnd"/>
      <w:r w:rsidR="00EE3D39">
        <w:rPr>
          <w:rFonts w:ascii="Times New Roman" w:hAnsi="Times New Roman" w:cs="Times New Roman"/>
          <w:i/>
          <w:sz w:val="24"/>
        </w:rPr>
        <w:t xml:space="preserve"> </w:t>
      </w:r>
      <w:r w:rsidR="00EE3D39">
        <w:rPr>
          <w:rFonts w:ascii="Times New Roman" w:hAnsi="Times New Roman" w:cs="Times New Roman"/>
          <w:sz w:val="24"/>
        </w:rPr>
        <w:t xml:space="preserve">cioè il termine per indicare i giunchi richiama lo </w:t>
      </w:r>
      <w:proofErr w:type="spellStart"/>
      <w:r w:rsidR="00EE3D39">
        <w:rPr>
          <w:rFonts w:ascii="Times New Roman" w:hAnsi="Times New Roman" w:cs="Times New Roman"/>
          <w:i/>
          <w:sz w:val="24"/>
        </w:rPr>
        <w:t>yam</w:t>
      </w:r>
      <w:proofErr w:type="spellEnd"/>
      <w:r w:rsidR="00EE3D39">
        <w:rPr>
          <w:rFonts w:ascii="Times New Roman" w:hAnsi="Times New Roman" w:cs="Times New Roman"/>
          <w:i/>
          <w:sz w:val="24"/>
        </w:rPr>
        <w:t xml:space="preserve"> </w:t>
      </w:r>
      <w:proofErr w:type="spellStart"/>
      <w:r w:rsidR="00EE3D39">
        <w:rPr>
          <w:rFonts w:ascii="Times New Roman" w:hAnsi="Times New Roman" w:cs="Times New Roman"/>
          <w:i/>
          <w:sz w:val="24"/>
        </w:rPr>
        <w:t>sûp</w:t>
      </w:r>
      <w:proofErr w:type="spellEnd"/>
      <w:r w:rsidR="00EE3D39">
        <w:rPr>
          <w:rFonts w:ascii="Times New Roman" w:hAnsi="Times New Roman" w:cs="Times New Roman"/>
          <w:sz w:val="24"/>
        </w:rPr>
        <w:t xml:space="preserve">, cioè il mare dei giunchi, il luogo del passaggio salvifico del popolo 13,18; </w:t>
      </w:r>
      <w:proofErr w:type="gramStart"/>
      <w:r w:rsidR="00EE3D39">
        <w:rPr>
          <w:rFonts w:ascii="Times New Roman" w:hAnsi="Times New Roman" w:cs="Times New Roman"/>
          <w:sz w:val="24"/>
        </w:rPr>
        <w:t>15,4.22</w:t>
      </w:r>
      <w:proofErr w:type="gramEnd"/>
      <w:r w:rsidR="00EE3D39">
        <w:rPr>
          <w:rFonts w:ascii="Times New Roman" w:hAnsi="Times New Roman" w:cs="Times New Roman"/>
          <w:sz w:val="24"/>
        </w:rPr>
        <w:t xml:space="preserve">, conferendo così alla storia di Mosè un </w:t>
      </w:r>
      <w:r w:rsidR="00EE3D39">
        <w:rPr>
          <w:rFonts w:ascii="Times New Roman" w:hAnsi="Times New Roman" w:cs="Times New Roman"/>
          <w:sz w:val="24"/>
        </w:rPr>
        <w:lastRenderedPageBreak/>
        <w:t xml:space="preserve">valore di segno e di prefigurazione. Mosè entra in tal modo nel mondo dell’acqua, mondo della morte a causa del decreto faraonico 1,22, ma anche e soprattutto </w:t>
      </w:r>
      <w:r w:rsidR="006B53F7">
        <w:rPr>
          <w:rFonts w:ascii="Times New Roman" w:hAnsi="Times New Roman" w:cs="Times New Roman"/>
          <w:sz w:val="24"/>
        </w:rPr>
        <w:t>mondo della vita, perché</w:t>
      </w:r>
      <w:r w:rsidR="00EE3D39">
        <w:rPr>
          <w:rFonts w:ascii="Times New Roman" w:hAnsi="Times New Roman" w:cs="Times New Roman"/>
          <w:sz w:val="24"/>
        </w:rPr>
        <w:t xml:space="preserve"> da essa verrà salvato</w:t>
      </w:r>
      <w:r w:rsidR="00944032">
        <w:rPr>
          <w:rFonts w:ascii="Times New Roman" w:hAnsi="Times New Roman" w:cs="Times New Roman"/>
          <w:sz w:val="24"/>
        </w:rPr>
        <w:t xml:space="preserve"> 2,10.</w:t>
      </w:r>
    </w:p>
    <w:p w:rsidR="00944032" w:rsidRDefault="00944032" w:rsidP="005740E8">
      <w:pPr>
        <w:spacing w:after="0" w:line="480" w:lineRule="auto"/>
        <w:jc w:val="both"/>
        <w:rPr>
          <w:rFonts w:ascii="Times New Roman" w:hAnsi="Times New Roman" w:cs="Times New Roman"/>
          <w:sz w:val="24"/>
        </w:rPr>
      </w:pPr>
      <w:r>
        <w:rPr>
          <w:rFonts w:ascii="Times New Roman" w:hAnsi="Times New Roman" w:cs="Times New Roman"/>
          <w:sz w:val="24"/>
        </w:rPr>
        <w:t xml:space="preserve">Un ulteriore tratto della presenza salvifica di Dio è riconducibile ai personaggi femminili che caratterizzano Es 1-2; le due levatrici, la madre e la sorella di Mosè, la figlia del faraone e le figlie di </w:t>
      </w:r>
      <w:proofErr w:type="spellStart"/>
      <w:r>
        <w:rPr>
          <w:rFonts w:ascii="Times New Roman" w:hAnsi="Times New Roman" w:cs="Times New Roman"/>
          <w:sz w:val="24"/>
        </w:rPr>
        <w:t>Reuel</w:t>
      </w:r>
      <w:proofErr w:type="spellEnd"/>
      <w:r>
        <w:rPr>
          <w:rFonts w:ascii="Times New Roman" w:hAnsi="Times New Roman" w:cs="Times New Roman"/>
          <w:sz w:val="24"/>
        </w:rPr>
        <w:t>. Esse rappresentano l’elemento debole della società, ma proprio per questo possono diventare il segno della sollecitudine materna di Dio per i suoi figli; la loro dedizione totale</w:t>
      </w:r>
      <w:r w:rsidR="008B0CB8">
        <w:rPr>
          <w:rFonts w:ascii="Times New Roman" w:hAnsi="Times New Roman" w:cs="Times New Roman"/>
          <w:sz w:val="24"/>
        </w:rPr>
        <w:t xml:space="preserve"> alla vita sconfigge il disegno di morte del faraone, perché fondato non sull’ambiguità di una sapienza politica, ma su una sapienza diventata timore di Dio. Così il narratore biblico al termine del capitolo 2 può esplicitare quella presenza divina, che già permeava silenziosamente la storia precedente, come presenza di un Dio che ascolta, si ricorda, vede e conosce. </w:t>
      </w:r>
    </w:p>
    <w:p w:rsidR="00F47C1A" w:rsidRPr="00EE3D39" w:rsidRDefault="00944032" w:rsidP="005740E8">
      <w:pPr>
        <w:spacing w:after="0" w:line="480" w:lineRule="auto"/>
        <w:jc w:val="both"/>
        <w:rPr>
          <w:rFonts w:ascii="Times New Roman" w:hAnsi="Times New Roman" w:cs="Times New Roman"/>
          <w:i/>
          <w:sz w:val="24"/>
        </w:rPr>
      </w:pPr>
      <w:r>
        <w:rPr>
          <w:rFonts w:ascii="Times New Roman" w:hAnsi="Times New Roman" w:cs="Times New Roman"/>
          <w:sz w:val="24"/>
        </w:rPr>
        <w:t>Quindi la storia di Mosè non solo illustra, quasi a titolo esemplificativo, questa presenza discreta ma determinante di Dio, ma vuol essere soprattutto la prefigurazione della futura salvezza degli israeliti.</w:t>
      </w:r>
      <w:r w:rsidR="00EE3D39">
        <w:rPr>
          <w:rFonts w:ascii="Times New Roman" w:hAnsi="Times New Roman" w:cs="Times New Roman"/>
          <w:i/>
          <w:sz w:val="24"/>
        </w:rPr>
        <w:t xml:space="preserve"> </w:t>
      </w:r>
    </w:p>
    <w:p w:rsidR="00903127" w:rsidRDefault="00903127" w:rsidP="005740E8">
      <w:pPr>
        <w:spacing w:after="0" w:line="480" w:lineRule="auto"/>
        <w:jc w:val="both"/>
        <w:rPr>
          <w:rFonts w:ascii="Times New Roman" w:hAnsi="Times New Roman" w:cs="Times New Roman"/>
          <w:sz w:val="24"/>
        </w:rPr>
      </w:pPr>
      <w:r>
        <w:rPr>
          <w:rFonts w:ascii="Times New Roman" w:hAnsi="Times New Roman" w:cs="Times New Roman"/>
          <w:sz w:val="24"/>
        </w:rPr>
        <w:tab/>
        <w:t xml:space="preserve">Nel testo di 2,23b-25 risuona un termine tecnico, </w:t>
      </w:r>
      <w:proofErr w:type="spellStart"/>
      <w:r w:rsidRPr="00903127">
        <w:rPr>
          <w:rFonts w:ascii="Times New Roman" w:hAnsi="Times New Roman" w:cs="Times New Roman"/>
          <w:b/>
          <w:i/>
          <w:sz w:val="24"/>
        </w:rPr>
        <w:t>sa‘aq</w:t>
      </w:r>
      <w:proofErr w:type="spellEnd"/>
      <w:r>
        <w:rPr>
          <w:rFonts w:ascii="Times New Roman" w:hAnsi="Times New Roman" w:cs="Times New Roman"/>
          <w:b/>
          <w:i/>
          <w:sz w:val="24"/>
        </w:rPr>
        <w:t xml:space="preserve">, </w:t>
      </w:r>
      <w:r w:rsidRPr="00903127">
        <w:rPr>
          <w:rFonts w:ascii="Times New Roman" w:hAnsi="Times New Roman" w:cs="Times New Roman"/>
          <w:sz w:val="24"/>
        </w:rPr>
        <w:t>ovvero il lamento legale che si indirizza ad un giudice</w:t>
      </w:r>
      <w:r>
        <w:rPr>
          <w:rFonts w:ascii="Times New Roman" w:hAnsi="Times New Roman" w:cs="Times New Roman"/>
          <w:sz w:val="24"/>
        </w:rPr>
        <w:t xml:space="preserve">. Ogni volta che un povero lancia questo appello al cielo per un’ingiustizia subìta, Dio, il giudice supremo, l’ascolta perché egli è pietoso. Anche nel nostro testo Dio </w:t>
      </w:r>
      <w:r w:rsidR="00DA601A">
        <w:rPr>
          <w:rFonts w:ascii="Times New Roman" w:hAnsi="Times New Roman" w:cs="Times New Roman"/>
          <w:sz w:val="24"/>
        </w:rPr>
        <w:t xml:space="preserve">non tarda ad intervenire: egli </w:t>
      </w:r>
      <w:r>
        <w:rPr>
          <w:rFonts w:ascii="Times New Roman" w:hAnsi="Times New Roman" w:cs="Times New Roman"/>
          <w:sz w:val="24"/>
        </w:rPr>
        <w:t>guarda e capisce</w:t>
      </w:r>
      <w:r w:rsidR="00AC3AA6">
        <w:rPr>
          <w:rFonts w:ascii="Times New Roman" w:hAnsi="Times New Roman" w:cs="Times New Roman"/>
          <w:sz w:val="24"/>
        </w:rPr>
        <w:t>, cioè se ne prende cura. Infatti egli è per eccellenza il difensore dell’uomo umiliato. Anzi è tra gli emarginati che egli compie le sue estrose scelte.</w:t>
      </w:r>
    </w:p>
    <w:p w:rsidR="00F8651E" w:rsidRDefault="00F8651E" w:rsidP="005740E8">
      <w:pPr>
        <w:spacing w:after="0" w:line="480" w:lineRule="auto"/>
        <w:jc w:val="both"/>
        <w:rPr>
          <w:rFonts w:ascii="Times New Roman" w:hAnsi="Times New Roman" w:cs="Times New Roman"/>
          <w:sz w:val="24"/>
        </w:rPr>
      </w:pPr>
      <w:r>
        <w:rPr>
          <w:rFonts w:ascii="Times New Roman" w:hAnsi="Times New Roman" w:cs="Times New Roman"/>
          <w:sz w:val="24"/>
        </w:rPr>
        <w:t>Infine questo testo è il La di tutta la vicenda salvifica di Israele e della Chiesa</w:t>
      </w:r>
      <w:r w:rsidR="00DA601A">
        <w:rPr>
          <w:rFonts w:ascii="Times New Roman" w:hAnsi="Times New Roman" w:cs="Times New Roman"/>
          <w:sz w:val="24"/>
        </w:rPr>
        <w:t>, esso è il Vangelo della Torah, in esso troviamo l’evento che fa diventare realtà la continuità del popolo dei popoli, dove scorgiamo la mano di Dio che attraverso l’uomo si manifesta e snuda il suo santo braccio, che trae dal male il bene.</w:t>
      </w:r>
      <w:bookmarkStart w:id="0" w:name="_GoBack"/>
      <w:bookmarkEnd w:id="0"/>
    </w:p>
    <w:p w:rsidR="00E27E2B" w:rsidRPr="00903127" w:rsidRDefault="00E27E2B" w:rsidP="00785A68">
      <w:pPr>
        <w:spacing w:after="0" w:line="276" w:lineRule="auto"/>
        <w:jc w:val="both"/>
        <w:rPr>
          <w:rFonts w:ascii="Times New Roman" w:hAnsi="Times New Roman" w:cs="Times New Roman"/>
          <w:sz w:val="24"/>
        </w:rPr>
      </w:pPr>
    </w:p>
    <w:sectPr w:rsidR="00E27E2B" w:rsidRPr="00903127" w:rsidSect="00F8651E">
      <w:footerReference w:type="default" r:id="rId8"/>
      <w:pgSz w:w="11906" w:h="16838"/>
      <w:pgMar w:top="720" w:right="720" w:bottom="720" w:left="72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35A" w:rsidRDefault="0048735A" w:rsidP="005740E8">
      <w:pPr>
        <w:spacing w:after="0" w:line="240" w:lineRule="auto"/>
      </w:pPr>
      <w:r>
        <w:separator/>
      </w:r>
    </w:p>
  </w:endnote>
  <w:endnote w:type="continuationSeparator" w:id="0">
    <w:p w:rsidR="0048735A" w:rsidRDefault="0048735A" w:rsidP="00574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4628771"/>
      <w:docPartObj>
        <w:docPartGallery w:val="Page Numbers (Bottom of Page)"/>
        <w:docPartUnique/>
      </w:docPartObj>
    </w:sdtPr>
    <w:sdtContent>
      <w:p w:rsidR="005740E8" w:rsidRDefault="005740E8">
        <w:pPr>
          <w:pStyle w:val="Pidipagina"/>
          <w:jc w:val="center"/>
        </w:pPr>
        <w:r>
          <w:fldChar w:fldCharType="begin"/>
        </w:r>
        <w:r>
          <w:instrText>PAGE   \* MERGEFORMAT</w:instrText>
        </w:r>
        <w:r>
          <w:fldChar w:fldCharType="separate"/>
        </w:r>
        <w:r w:rsidR="00DA601A">
          <w:rPr>
            <w:noProof/>
          </w:rPr>
          <w:t>2</w:t>
        </w:r>
        <w:r>
          <w:fldChar w:fldCharType="end"/>
        </w:r>
      </w:p>
    </w:sdtContent>
  </w:sdt>
  <w:p w:rsidR="005740E8" w:rsidRDefault="005740E8">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35A" w:rsidRDefault="0048735A" w:rsidP="005740E8">
      <w:pPr>
        <w:spacing w:after="0" w:line="240" w:lineRule="auto"/>
      </w:pPr>
      <w:r>
        <w:separator/>
      </w:r>
    </w:p>
  </w:footnote>
  <w:footnote w:type="continuationSeparator" w:id="0">
    <w:p w:rsidR="0048735A" w:rsidRDefault="0048735A" w:rsidP="005740E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D04E85"/>
    <w:multiLevelType w:val="hybridMultilevel"/>
    <w:tmpl w:val="2DF8D8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9F82C7D"/>
    <w:multiLevelType w:val="hybridMultilevel"/>
    <w:tmpl w:val="C8EC7ED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734A3709"/>
    <w:multiLevelType w:val="hybridMultilevel"/>
    <w:tmpl w:val="0AB40AE8"/>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30E"/>
    <w:rsid w:val="000454FB"/>
    <w:rsid w:val="000C2A6A"/>
    <w:rsid w:val="000F230E"/>
    <w:rsid w:val="00155FB9"/>
    <w:rsid w:val="001E626C"/>
    <w:rsid w:val="00211BF2"/>
    <w:rsid w:val="0048735A"/>
    <w:rsid w:val="005740E8"/>
    <w:rsid w:val="006577BE"/>
    <w:rsid w:val="006B53F7"/>
    <w:rsid w:val="006B5E63"/>
    <w:rsid w:val="00730DA9"/>
    <w:rsid w:val="00785A68"/>
    <w:rsid w:val="008B0CB8"/>
    <w:rsid w:val="008F1C21"/>
    <w:rsid w:val="00903127"/>
    <w:rsid w:val="00944032"/>
    <w:rsid w:val="00A052DA"/>
    <w:rsid w:val="00AC3AA6"/>
    <w:rsid w:val="00AF13BA"/>
    <w:rsid w:val="00BF0E00"/>
    <w:rsid w:val="00DA601A"/>
    <w:rsid w:val="00E27E2B"/>
    <w:rsid w:val="00E37E10"/>
    <w:rsid w:val="00EE3D39"/>
    <w:rsid w:val="00F024DE"/>
    <w:rsid w:val="00F47C1A"/>
    <w:rsid w:val="00F8651E"/>
    <w:rsid w:val="00FF174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3905B9-51AE-4B6D-8354-5EA8D6FF9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85A68"/>
    <w:pPr>
      <w:ind w:left="720"/>
      <w:contextualSpacing/>
    </w:pPr>
  </w:style>
  <w:style w:type="paragraph" w:styleId="Intestazione">
    <w:name w:val="header"/>
    <w:basedOn w:val="Normale"/>
    <w:link w:val="IntestazioneCarattere"/>
    <w:uiPriority w:val="99"/>
    <w:unhideWhenUsed/>
    <w:rsid w:val="005740E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740E8"/>
  </w:style>
  <w:style w:type="paragraph" w:styleId="Pidipagina">
    <w:name w:val="footer"/>
    <w:basedOn w:val="Normale"/>
    <w:link w:val="PidipaginaCarattere"/>
    <w:uiPriority w:val="99"/>
    <w:unhideWhenUsed/>
    <w:rsid w:val="005740E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740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C5314-A70B-4EFC-8921-4C0086520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3</Pages>
  <Words>1134</Words>
  <Characters>6465</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7584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Pasquale dello Iacono</dc:creator>
  <cp:keywords/>
  <dc:description/>
  <cp:lastModifiedBy>Pasquale dello Iacono</cp:lastModifiedBy>
  <cp:revision>9</cp:revision>
  <dcterms:created xsi:type="dcterms:W3CDTF">2015-12-16T18:02:00Z</dcterms:created>
  <dcterms:modified xsi:type="dcterms:W3CDTF">2015-12-17T15:12:00Z</dcterms:modified>
</cp:coreProperties>
</file>